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60" w:lineRule="exact"/>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1</w:t>
      </w:r>
    </w:p>
    <w:p>
      <w:pPr>
        <w:spacing w:after="156" w:afterLines="50"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山东省</w:t>
      </w:r>
      <w:r>
        <w:rPr>
          <w:rFonts w:hint="eastAsia" w:ascii="方正小标宋简体" w:hAnsi="方正小标宋简体" w:eastAsia="方正小标宋简体" w:cs="方正小标宋简体"/>
          <w:b w:val="0"/>
          <w:bCs/>
          <w:sz w:val="44"/>
          <w:szCs w:val="44"/>
        </w:rPr>
        <w:t>企业风险分级管控和隐患排查治理体系建设验收评定标准（试行）</w:t>
      </w:r>
    </w:p>
    <w:tbl>
      <w:tblPr>
        <w:tblStyle w:val="2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499"/>
        <w:gridCol w:w="2792"/>
        <w:gridCol w:w="3877"/>
        <w:gridCol w:w="2850"/>
        <w:gridCol w:w="1615"/>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676" w:type="dxa"/>
            <w:vAlign w:val="center"/>
          </w:tcPr>
          <w:p>
            <w:pPr>
              <w:keepNext w:val="0"/>
              <w:keepLines w:val="0"/>
              <w:pageBreakBefore w:val="0"/>
              <w:widowControl/>
              <w:kinsoku/>
              <w:overflowPunct/>
              <w:bidi w:val="0"/>
              <w:adjustRightInd w:val="0"/>
              <w:snapToGrid w:val="0"/>
              <w:spacing w:line="360" w:lineRule="exact"/>
              <w:ind w:right="0" w:rightChars="0"/>
              <w:jc w:val="center"/>
              <w:textAlignment w:val="auto"/>
              <w:rPr>
                <w:rFonts w:asciiTheme="majorEastAsia" w:hAnsiTheme="majorEastAsia" w:eastAsiaTheme="majorEastAsia"/>
                <w:b/>
                <w:szCs w:val="21"/>
              </w:rPr>
            </w:pPr>
            <w:r>
              <w:rPr>
                <w:rFonts w:hint="eastAsia" w:asciiTheme="majorEastAsia" w:hAnsiTheme="majorEastAsia" w:eastAsiaTheme="majorEastAsia"/>
                <w:b/>
                <w:szCs w:val="21"/>
              </w:rPr>
              <w:t>考核指标</w:t>
            </w:r>
          </w:p>
        </w:tc>
        <w:tc>
          <w:tcPr>
            <w:tcW w:w="1499" w:type="dxa"/>
            <w:vAlign w:val="center"/>
          </w:tcPr>
          <w:p>
            <w:pPr>
              <w:keepNext w:val="0"/>
              <w:keepLines w:val="0"/>
              <w:pageBreakBefore w:val="0"/>
              <w:widowControl/>
              <w:kinsoku/>
              <w:overflowPunct/>
              <w:bidi w:val="0"/>
              <w:adjustRightInd w:val="0"/>
              <w:snapToGrid w:val="0"/>
              <w:spacing w:line="360" w:lineRule="exact"/>
              <w:ind w:right="0" w:rightChars="0"/>
              <w:jc w:val="center"/>
              <w:textAlignment w:val="auto"/>
              <w:rPr>
                <w:rFonts w:asciiTheme="majorEastAsia" w:hAnsiTheme="majorEastAsia" w:eastAsiaTheme="majorEastAsia"/>
                <w:b/>
                <w:szCs w:val="21"/>
              </w:rPr>
            </w:pPr>
            <w:r>
              <w:rPr>
                <w:rFonts w:hint="eastAsia" w:asciiTheme="majorEastAsia" w:hAnsiTheme="majorEastAsia" w:eastAsiaTheme="majorEastAsia"/>
                <w:b/>
                <w:szCs w:val="21"/>
              </w:rPr>
              <w:t>考核要点</w:t>
            </w:r>
          </w:p>
        </w:tc>
        <w:tc>
          <w:tcPr>
            <w:tcW w:w="2792" w:type="dxa"/>
            <w:vAlign w:val="center"/>
          </w:tcPr>
          <w:p>
            <w:pPr>
              <w:keepNext w:val="0"/>
              <w:keepLines w:val="0"/>
              <w:pageBreakBefore w:val="0"/>
              <w:widowControl/>
              <w:kinsoku/>
              <w:overflowPunct/>
              <w:bidi w:val="0"/>
              <w:adjustRightInd w:val="0"/>
              <w:snapToGrid w:val="0"/>
              <w:spacing w:line="360" w:lineRule="exact"/>
              <w:ind w:right="0" w:rightChars="0"/>
              <w:jc w:val="center"/>
              <w:textAlignment w:val="auto"/>
              <w:rPr>
                <w:rFonts w:asciiTheme="majorEastAsia" w:hAnsiTheme="majorEastAsia" w:eastAsiaTheme="majorEastAsia"/>
                <w:b/>
                <w:szCs w:val="21"/>
              </w:rPr>
            </w:pPr>
            <w:r>
              <w:rPr>
                <w:rFonts w:hint="eastAsia" w:asciiTheme="majorEastAsia" w:hAnsiTheme="majorEastAsia" w:eastAsiaTheme="majorEastAsia"/>
                <w:b/>
                <w:szCs w:val="21"/>
              </w:rPr>
              <w:t>达标标准</w:t>
            </w:r>
          </w:p>
        </w:tc>
        <w:tc>
          <w:tcPr>
            <w:tcW w:w="3877" w:type="dxa"/>
            <w:vAlign w:val="center"/>
          </w:tcPr>
          <w:p>
            <w:pPr>
              <w:keepNext w:val="0"/>
              <w:keepLines w:val="0"/>
              <w:pageBreakBefore w:val="0"/>
              <w:widowControl/>
              <w:kinsoku/>
              <w:overflowPunct/>
              <w:bidi w:val="0"/>
              <w:adjustRightInd w:val="0"/>
              <w:snapToGrid w:val="0"/>
              <w:spacing w:line="360" w:lineRule="exact"/>
              <w:ind w:right="0" w:rightChars="0"/>
              <w:jc w:val="center"/>
              <w:textAlignment w:val="auto"/>
              <w:rPr>
                <w:rFonts w:asciiTheme="majorEastAsia" w:hAnsiTheme="majorEastAsia" w:eastAsiaTheme="majorEastAsia"/>
                <w:b/>
                <w:szCs w:val="21"/>
              </w:rPr>
            </w:pPr>
            <w:r>
              <w:rPr>
                <w:rFonts w:hint="eastAsia" w:asciiTheme="majorEastAsia" w:hAnsiTheme="majorEastAsia" w:eastAsiaTheme="majorEastAsia"/>
                <w:b/>
                <w:szCs w:val="21"/>
              </w:rPr>
              <w:t>评分标准</w:t>
            </w:r>
          </w:p>
        </w:tc>
        <w:tc>
          <w:tcPr>
            <w:tcW w:w="2850" w:type="dxa"/>
            <w:vAlign w:val="center"/>
          </w:tcPr>
          <w:p>
            <w:pPr>
              <w:keepNext w:val="0"/>
              <w:keepLines w:val="0"/>
              <w:pageBreakBefore w:val="0"/>
              <w:widowControl/>
              <w:kinsoku/>
              <w:overflowPunct/>
              <w:bidi w:val="0"/>
              <w:adjustRightInd w:val="0"/>
              <w:snapToGrid w:val="0"/>
              <w:spacing w:line="360" w:lineRule="exact"/>
              <w:ind w:right="0" w:rightChars="0"/>
              <w:jc w:val="center"/>
              <w:textAlignment w:val="auto"/>
              <w:rPr>
                <w:rFonts w:asciiTheme="majorEastAsia" w:hAnsiTheme="majorEastAsia" w:eastAsiaTheme="majorEastAsia"/>
                <w:b/>
                <w:szCs w:val="21"/>
              </w:rPr>
            </w:pPr>
            <w:r>
              <w:rPr>
                <w:rFonts w:hint="eastAsia" w:asciiTheme="majorEastAsia" w:hAnsiTheme="majorEastAsia" w:eastAsiaTheme="majorEastAsia"/>
                <w:b/>
                <w:szCs w:val="21"/>
              </w:rPr>
              <w:t>考核</w:t>
            </w:r>
            <w:r>
              <w:rPr>
                <w:rFonts w:asciiTheme="majorEastAsia" w:hAnsiTheme="majorEastAsia" w:eastAsiaTheme="majorEastAsia"/>
                <w:b/>
                <w:szCs w:val="21"/>
              </w:rPr>
              <w:t>方法</w:t>
            </w:r>
          </w:p>
        </w:tc>
        <w:tc>
          <w:tcPr>
            <w:tcW w:w="1615" w:type="dxa"/>
            <w:vAlign w:val="center"/>
          </w:tcPr>
          <w:p>
            <w:pPr>
              <w:keepNext w:val="0"/>
              <w:keepLines w:val="0"/>
              <w:pageBreakBefore w:val="0"/>
              <w:widowControl/>
              <w:kinsoku/>
              <w:overflowPunct/>
              <w:bidi w:val="0"/>
              <w:adjustRightInd w:val="0"/>
              <w:snapToGrid w:val="0"/>
              <w:spacing w:line="360" w:lineRule="exact"/>
              <w:ind w:right="0" w:rightChars="0"/>
              <w:jc w:val="center"/>
              <w:textAlignment w:val="auto"/>
              <w:rPr>
                <w:rFonts w:asciiTheme="majorEastAsia" w:hAnsiTheme="majorEastAsia" w:eastAsiaTheme="majorEastAsia"/>
                <w:b/>
                <w:szCs w:val="21"/>
              </w:rPr>
            </w:pPr>
            <w:r>
              <w:rPr>
                <w:rFonts w:hint="eastAsia" w:asciiTheme="majorEastAsia" w:hAnsiTheme="majorEastAsia" w:eastAsiaTheme="majorEastAsia"/>
                <w:b/>
                <w:szCs w:val="21"/>
              </w:rPr>
              <w:t>考核记录</w:t>
            </w:r>
          </w:p>
        </w:tc>
        <w:tc>
          <w:tcPr>
            <w:tcW w:w="865" w:type="dxa"/>
            <w:vAlign w:val="center"/>
          </w:tcPr>
          <w:p>
            <w:pPr>
              <w:keepNext w:val="0"/>
              <w:keepLines w:val="0"/>
              <w:pageBreakBefore w:val="0"/>
              <w:widowControl/>
              <w:kinsoku/>
              <w:overflowPunct/>
              <w:bidi w:val="0"/>
              <w:adjustRightInd w:val="0"/>
              <w:snapToGrid w:val="0"/>
              <w:spacing w:line="360" w:lineRule="exact"/>
              <w:ind w:right="0" w:rightChars="0"/>
              <w:jc w:val="center"/>
              <w:textAlignment w:val="auto"/>
              <w:rPr>
                <w:rFonts w:asciiTheme="majorEastAsia" w:hAnsiTheme="majorEastAsia" w:eastAsiaTheme="majorEastAsia"/>
                <w:b/>
                <w:szCs w:val="21"/>
              </w:rPr>
            </w:pPr>
            <w:r>
              <w:rPr>
                <w:rFonts w:hint="eastAsia" w:asciiTheme="majorEastAsia" w:hAnsiTheme="majorEastAsia" w:eastAsiaTheme="majorEastAsia"/>
                <w:b/>
                <w:szCs w:val="21"/>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Merge w:val="restart"/>
            <w:vAlign w:val="center"/>
          </w:tcPr>
          <w:p>
            <w:pPr>
              <w:keepNext w:val="0"/>
              <w:keepLines w:val="0"/>
              <w:pageBreakBefore w:val="0"/>
              <w:widowControl/>
              <w:kinsoku/>
              <w:overflowPunct/>
              <w:bidi w:val="0"/>
              <w:adjustRightInd w:val="0"/>
              <w:snapToGrid w:val="0"/>
              <w:spacing w:line="360" w:lineRule="exact"/>
              <w:ind w:right="0" w:rightChars="0"/>
              <w:jc w:val="center"/>
              <w:textAlignment w:val="auto"/>
              <w:rPr>
                <w:rFonts w:asciiTheme="majorEastAsia" w:hAnsiTheme="majorEastAsia" w:eastAsiaTheme="majorEastAsia"/>
                <w:b/>
                <w:szCs w:val="21"/>
              </w:rPr>
            </w:pPr>
            <w:r>
              <w:rPr>
                <w:rFonts w:hint="eastAsia" w:asciiTheme="majorEastAsia" w:hAnsiTheme="majorEastAsia" w:eastAsiaTheme="majorEastAsia"/>
                <w:b/>
                <w:szCs w:val="21"/>
              </w:rPr>
              <w:t>基本要求（80分）</w:t>
            </w:r>
          </w:p>
        </w:tc>
        <w:tc>
          <w:tcPr>
            <w:tcW w:w="1499" w:type="dxa"/>
            <w:vAlign w:val="center"/>
          </w:tcPr>
          <w:p>
            <w:pPr>
              <w:keepNext w:val="0"/>
              <w:keepLines w:val="0"/>
              <w:pageBreakBefore w:val="0"/>
              <w:kinsoku/>
              <w:overflowPunct/>
              <w:bidi w:val="0"/>
              <w:adjustRightInd w:val="0"/>
              <w:snapToGrid w:val="0"/>
              <w:spacing w:line="360" w:lineRule="exact"/>
              <w:ind w:right="0" w:rightChars="0"/>
              <w:textAlignment w:val="auto"/>
              <w:rPr>
                <w:rFonts w:hint="eastAsia" w:asciiTheme="majorEastAsia" w:hAnsiTheme="majorEastAsia" w:eastAsiaTheme="majorEastAsia"/>
                <w:szCs w:val="21"/>
              </w:rPr>
            </w:pPr>
            <w:r>
              <w:rPr>
                <w:rFonts w:hint="eastAsia" w:asciiTheme="majorEastAsia" w:hAnsiTheme="majorEastAsia" w:eastAsiaTheme="majorEastAsia"/>
                <w:szCs w:val="21"/>
              </w:rPr>
              <w:t>组织机构</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（20分）</w:t>
            </w:r>
          </w:p>
        </w:tc>
        <w:tc>
          <w:tcPr>
            <w:tcW w:w="2792" w:type="dxa"/>
            <w:vAlign w:val="center"/>
          </w:tcPr>
          <w:p>
            <w:pPr>
              <w:keepNext w:val="0"/>
              <w:keepLines w:val="0"/>
              <w:pageBreakBefore w:val="0"/>
              <w:widowControl/>
              <w:numPr>
                <w:ilvl w:val="0"/>
                <w:numId w:val="2"/>
              </w:numPr>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企业应建立“两个体系”</w:t>
            </w:r>
            <w:r>
              <w:rPr>
                <w:rFonts w:asciiTheme="majorEastAsia" w:hAnsiTheme="majorEastAsia" w:eastAsiaTheme="majorEastAsia"/>
                <w:szCs w:val="21"/>
              </w:rPr>
              <w:t>建设组织</w:t>
            </w:r>
            <w:r>
              <w:rPr>
                <w:rFonts w:hint="eastAsia" w:asciiTheme="majorEastAsia" w:hAnsiTheme="majorEastAsia" w:eastAsiaTheme="majorEastAsia"/>
                <w:szCs w:val="21"/>
              </w:rPr>
              <w:t>领导机构，</w:t>
            </w:r>
            <w:r>
              <w:rPr>
                <w:rFonts w:asciiTheme="majorEastAsia" w:hAnsiTheme="majorEastAsia" w:eastAsiaTheme="majorEastAsia"/>
                <w:szCs w:val="21"/>
              </w:rPr>
              <w:t>组织</w:t>
            </w:r>
            <w:r>
              <w:rPr>
                <w:rFonts w:hint="eastAsia" w:asciiTheme="majorEastAsia" w:hAnsiTheme="majorEastAsia" w:eastAsiaTheme="majorEastAsia"/>
                <w:szCs w:val="21"/>
              </w:rPr>
              <w:t>领导机构</w:t>
            </w:r>
            <w:r>
              <w:rPr>
                <w:rFonts w:asciiTheme="majorEastAsia" w:hAnsiTheme="majorEastAsia" w:eastAsiaTheme="majorEastAsia"/>
                <w:szCs w:val="21"/>
              </w:rPr>
              <w:t>组成人员应</w:t>
            </w:r>
            <w:r>
              <w:rPr>
                <w:rFonts w:hint="eastAsia" w:asciiTheme="majorEastAsia" w:hAnsiTheme="majorEastAsia" w:eastAsiaTheme="majorEastAsia"/>
                <w:szCs w:val="21"/>
              </w:rPr>
              <w:t>包括企业主要负责人，</w:t>
            </w:r>
            <w:r>
              <w:rPr>
                <w:rFonts w:hint="eastAsia"/>
                <w:szCs w:val="21"/>
              </w:rPr>
              <w:t>分管负责人及各部门负责人及重要岗位人员，</w:t>
            </w:r>
            <w:r>
              <w:rPr>
                <w:rFonts w:hint="eastAsia" w:asciiTheme="majorEastAsia" w:hAnsiTheme="majorEastAsia" w:eastAsiaTheme="majorEastAsia"/>
                <w:szCs w:val="21"/>
              </w:rPr>
              <w:t>企业主要负责人担任主要领导职务，全面负责企业“两个体系”</w:t>
            </w:r>
            <w:r>
              <w:rPr>
                <w:rFonts w:asciiTheme="majorEastAsia" w:hAnsiTheme="majorEastAsia" w:eastAsiaTheme="majorEastAsia"/>
                <w:szCs w:val="21"/>
              </w:rPr>
              <w:t>建设</w:t>
            </w:r>
            <w:r>
              <w:rPr>
                <w:rFonts w:hint="eastAsia" w:asciiTheme="majorEastAsia" w:hAnsiTheme="majorEastAsia" w:eastAsiaTheme="majorEastAsia"/>
                <w:szCs w:val="21"/>
              </w:rPr>
              <w:t>。</w:t>
            </w:r>
          </w:p>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2、企业应明确企业主要负责人，</w:t>
            </w:r>
            <w:r>
              <w:rPr>
                <w:rFonts w:hint="eastAsia"/>
                <w:szCs w:val="21"/>
              </w:rPr>
              <w:t>分管负责人及各部门负责人及重要岗位人员“两个体系”建设应履行的职责，</w:t>
            </w:r>
            <w:r>
              <w:rPr>
                <w:rFonts w:hint="eastAsia" w:asciiTheme="majorEastAsia" w:hAnsiTheme="majorEastAsia" w:eastAsiaTheme="majorEastAsia"/>
                <w:szCs w:val="21"/>
              </w:rPr>
              <w:t>并</w:t>
            </w:r>
            <w:r>
              <w:rPr>
                <w:rFonts w:asciiTheme="majorEastAsia" w:hAnsiTheme="majorEastAsia" w:eastAsiaTheme="majorEastAsia"/>
                <w:szCs w:val="21"/>
              </w:rPr>
              <w:t>在</w:t>
            </w:r>
            <w:r>
              <w:rPr>
                <w:rFonts w:hint="eastAsia" w:asciiTheme="majorEastAsia" w:hAnsiTheme="majorEastAsia" w:eastAsiaTheme="majorEastAsia"/>
                <w:szCs w:val="21"/>
              </w:rPr>
              <w:t>安全生产管理制度中</w:t>
            </w:r>
            <w:r>
              <w:rPr>
                <w:rFonts w:asciiTheme="majorEastAsia" w:hAnsiTheme="majorEastAsia" w:eastAsiaTheme="majorEastAsia"/>
                <w:szCs w:val="21"/>
              </w:rPr>
              <w:t>增加安委会</w:t>
            </w:r>
            <w:r>
              <w:rPr>
                <w:rFonts w:hint="eastAsia" w:asciiTheme="majorEastAsia" w:hAnsiTheme="majorEastAsia" w:eastAsiaTheme="majorEastAsia"/>
                <w:szCs w:val="21"/>
              </w:rPr>
              <w:t>、</w:t>
            </w:r>
            <w:r>
              <w:rPr>
                <w:rFonts w:asciiTheme="majorEastAsia" w:hAnsiTheme="majorEastAsia" w:eastAsiaTheme="majorEastAsia"/>
                <w:szCs w:val="21"/>
              </w:rPr>
              <w:t>安全领导小组相关职责</w:t>
            </w:r>
            <w:r>
              <w:rPr>
                <w:rFonts w:hint="eastAsia"/>
                <w:szCs w:val="21"/>
              </w:rPr>
              <w:t>。</w:t>
            </w:r>
          </w:p>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3、</w:t>
            </w:r>
            <w:r>
              <w:rPr>
                <w:rFonts w:hint="eastAsia" w:asciiTheme="majorEastAsia" w:hAnsiTheme="majorEastAsia" w:eastAsiaTheme="majorEastAsia"/>
                <w:szCs w:val="21"/>
                <w:lang w:eastAsia="zh-CN"/>
              </w:rPr>
              <w:t>企业</w:t>
            </w:r>
            <w:r>
              <w:rPr>
                <w:rFonts w:hint="eastAsia" w:asciiTheme="majorEastAsia" w:hAnsiTheme="majorEastAsia" w:eastAsiaTheme="majorEastAsia"/>
                <w:szCs w:val="21"/>
              </w:rPr>
              <w:t>应制定“两个体系”</w:t>
            </w:r>
            <w:r>
              <w:rPr>
                <w:rFonts w:asciiTheme="majorEastAsia" w:hAnsiTheme="majorEastAsia" w:eastAsiaTheme="majorEastAsia"/>
                <w:szCs w:val="21"/>
              </w:rPr>
              <w:t>建设实施方案</w:t>
            </w:r>
            <w:r>
              <w:rPr>
                <w:rFonts w:hint="eastAsia" w:asciiTheme="majorEastAsia" w:hAnsiTheme="majorEastAsia" w:eastAsiaTheme="majorEastAsia"/>
                <w:szCs w:val="21"/>
              </w:rPr>
              <w:t>，</w:t>
            </w:r>
            <w:r>
              <w:rPr>
                <w:rFonts w:asciiTheme="majorEastAsia" w:hAnsiTheme="majorEastAsia" w:eastAsiaTheme="majorEastAsia"/>
                <w:szCs w:val="21"/>
              </w:rPr>
              <w:t>明确</w:t>
            </w:r>
            <w:r>
              <w:rPr>
                <w:rFonts w:hint="eastAsia" w:asciiTheme="majorEastAsia" w:hAnsiTheme="majorEastAsia" w:eastAsiaTheme="majorEastAsia"/>
                <w:szCs w:val="21"/>
                <w:lang w:eastAsia="zh-CN"/>
              </w:rPr>
              <w:t>工作</w:t>
            </w:r>
            <w:r>
              <w:rPr>
                <w:rFonts w:hint="eastAsia" w:asciiTheme="majorEastAsia" w:hAnsiTheme="majorEastAsia" w:eastAsiaTheme="majorEastAsia"/>
                <w:szCs w:val="21"/>
              </w:rPr>
              <w:t>分工、工作目标、实施步骤、工作任务</w:t>
            </w:r>
            <w:r>
              <w:rPr>
                <w:rFonts w:hint="eastAsia" w:asciiTheme="majorEastAsia" w:hAnsiTheme="majorEastAsia" w:eastAsiaTheme="majorEastAsia"/>
                <w:szCs w:val="21"/>
                <w:lang w:eastAsia="zh-CN"/>
              </w:rPr>
              <w:t>、进度安排</w:t>
            </w:r>
            <w:r>
              <w:rPr>
                <w:rFonts w:hint="eastAsia" w:asciiTheme="majorEastAsia" w:hAnsiTheme="majorEastAsia" w:eastAsiaTheme="majorEastAsia"/>
                <w:szCs w:val="21"/>
              </w:rPr>
              <w:t>等。</w:t>
            </w:r>
          </w:p>
        </w:tc>
        <w:tc>
          <w:tcPr>
            <w:tcW w:w="3877" w:type="dxa"/>
          </w:tcPr>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1、未以正式文件明确建立</w:t>
            </w:r>
            <w:r>
              <w:rPr>
                <w:rFonts w:hint="eastAsia" w:asciiTheme="majorEastAsia" w:hAnsiTheme="majorEastAsia" w:eastAsiaTheme="majorEastAsia"/>
                <w:szCs w:val="21"/>
                <w:lang w:eastAsia="zh-CN"/>
              </w:rPr>
              <w:t>企业</w:t>
            </w:r>
            <w:r>
              <w:rPr>
                <w:rFonts w:hint="eastAsia" w:asciiTheme="majorEastAsia" w:hAnsiTheme="majorEastAsia" w:eastAsiaTheme="majorEastAsia"/>
                <w:szCs w:val="21"/>
              </w:rPr>
              <w:t>“两个体系”</w:t>
            </w:r>
            <w:r>
              <w:rPr>
                <w:rFonts w:asciiTheme="majorEastAsia" w:hAnsiTheme="majorEastAsia" w:eastAsiaTheme="majorEastAsia"/>
                <w:szCs w:val="21"/>
              </w:rPr>
              <w:t>建设组织</w:t>
            </w:r>
            <w:r>
              <w:rPr>
                <w:rFonts w:hint="eastAsia" w:asciiTheme="majorEastAsia" w:hAnsiTheme="majorEastAsia" w:eastAsiaTheme="majorEastAsia"/>
                <w:szCs w:val="21"/>
              </w:rPr>
              <w:t>领导机构</w:t>
            </w:r>
            <w:r>
              <w:rPr>
                <w:rFonts w:hint="eastAsia" w:asciiTheme="majorEastAsia" w:hAnsiTheme="majorEastAsia" w:eastAsiaTheme="majorEastAsia"/>
                <w:szCs w:val="21"/>
                <w:lang w:eastAsia="zh-CN"/>
              </w:rPr>
              <w:t>的</w:t>
            </w:r>
            <w:r>
              <w:rPr>
                <w:rFonts w:hint="eastAsia" w:asciiTheme="majorEastAsia" w:hAnsiTheme="majorEastAsia" w:eastAsiaTheme="majorEastAsia"/>
                <w:szCs w:val="21"/>
              </w:rPr>
              <w:t>，扣2分。</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2、</w:t>
            </w:r>
            <w:r>
              <w:rPr>
                <w:rFonts w:hint="eastAsia" w:asciiTheme="majorEastAsia" w:hAnsiTheme="majorEastAsia" w:eastAsiaTheme="majorEastAsia"/>
                <w:szCs w:val="21"/>
                <w:lang w:eastAsia="zh-CN"/>
              </w:rPr>
              <w:t>企业</w:t>
            </w:r>
            <w:r>
              <w:rPr>
                <w:rFonts w:hint="eastAsia" w:asciiTheme="majorEastAsia" w:hAnsiTheme="majorEastAsia" w:eastAsiaTheme="majorEastAsia"/>
                <w:szCs w:val="21"/>
              </w:rPr>
              <w:t>“两个体系”</w:t>
            </w:r>
            <w:r>
              <w:rPr>
                <w:rFonts w:asciiTheme="majorEastAsia" w:hAnsiTheme="majorEastAsia" w:eastAsiaTheme="majorEastAsia"/>
                <w:szCs w:val="21"/>
              </w:rPr>
              <w:t>建设组织</w:t>
            </w:r>
            <w:r>
              <w:rPr>
                <w:rFonts w:hint="eastAsia" w:asciiTheme="majorEastAsia" w:hAnsiTheme="majorEastAsia" w:eastAsiaTheme="majorEastAsia"/>
                <w:szCs w:val="21"/>
              </w:rPr>
              <w:t>领导机构的</w:t>
            </w:r>
            <w:r>
              <w:rPr>
                <w:rFonts w:asciiTheme="majorEastAsia" w:hAnsiTheme="majorEastAsia" w:eastAsiaTheme="majorEastAsia"/>
                <w:szCs w:val="21"/>
              </w:rPr>
              <w:t>组成人员不全面</w:t>
            </w:r>
            <w:r>
              <w:rPr>
                <w:rFonts w:hint="eastAsia" w:asciiTheme="majorEastAsia" w:hAnsiTheme="majorEastAsia" w:eastAsiaTheme="majorEastAsia"/>
                <w:szCs w:val="21"/>
              </w:rPr>
              <w:t>，缺一个岗位扣2分</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rPr>
              <w:t>企业主要负责人未担任主要领导职务的，</w:t>
            </w:r>
            <w:r>
              <w:rPr>
                <w:rFonts w:hint="eastAsia" w:asciiTheme="majorEastAsia" w:hAnsiTheme="majorEastAsia" w:eastAsiaTheme="majorEastAsia"/>
                <w:szCs w:val="21"/>
                <w:lang w:eastAsia="zh-CN"/>
              </w:rPr>
              <w:t>扣</w:t>
            </w:r>
            <w:r>
              <w:rPr>
                <w:rFonts w:hint="eastAsia" w:asciiTheme="majorEastAsia" w:hAnsiTheme="majorEastAsia" w:eastAsiaTheme="majorEastAsia"/>
                <w:szCs w:val="21"/>
                <w:lang w:val="en-US" w:eastAsia="zh-CN"/>
              </w:rPr>
              <w:t>5分。</w:t>
            </w:r>
          </w:p>
          <w:p>
            <w:pPr>
              <w:keepNext w:val="0"/>
              <w:keepLines w:val="0"/>
              <w:pageBreakBefore w:val="0"/>
              <w:numPr>
                <w:ilvl w:val="0"/>
                <w:numId w:val="3"/>
              </w:numPr>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未明确企业主要负责人，</w:t>
            </w:r>
            <w:r>
              <w:rPr>
                <w:rFonts w:hint="eastAsia"/>
                <w:szCs w:val="21"/>
              </w:rPr>
              <w:t>分管负责人及各部门负责人及重要岗位人员“两个体系”建设</w:t>
            </w:r>
            <w:r>
              <w:rPr>
                <w:rFonts w:hint="eastAsia" w:asciiTheme="majorEastAsia" w:hAnsiTheme="majorEastAsia" w:eastAsiaTheme="majorEastAsia"/>
                <w:szCs w:val="21"/>
              </w:rPr>
              <w:t>职责</w:t>
            </w:r>
            <w:r>
              <w:rPr>
                <w:rFonts w:hint="eastAsia" w:asciiTheme="majorEastAsia" w:hAnsiTheme="majorEastAsia" w:eastAsiaTheme="majorEastAsia"/>
                <w:szCs w:val="21"/>
                <w:lang w:eastAsia="zh-CN"/>
              </w:rPr>
              <w:t>的</w:t>
            </w:r>
            <w:r>
              <w:rPr>
                <w:rFonts w:hint="eastAsia" w:asciiTheme="majorEastAsia" w:hAnsiTheme="majorEastAsia" w:eastAsiaTheme="majorEastAsia"/>
                <w:szCs w:val="21"/>
              </w:rPr>
              <w:t>，一项不符合扣2分。</w:t>
            </w:r>
          </w:p>
          <w:p>
            <w:pPr>
              <w:keepNext w:val="0"/>
              <w:keepLines w:val="0"/>
              <w:pageBreakBefore w:val="0"/>
              <w:numPr>
                <w:ilvl w:val="0"/>
                <w:numId w:val="3"/>
              </w:numPr>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未制定“两个体系”建设实施方案</w:t>
            </w:r>
            <w:r>
              <w:rPr>
                <w:rFonts w:hint="eastAsia" w:asciiTheme="majorEastAsia" w:hAnsiTheme="majorEastAsia" w:eastAsiaTheme="majorEastAsia"/>
                <w:szCs w:val="21"/>
                <w:lang w:eastAsia="zh-CN"/>
              </w:rPr>
              <w:t>的，</w:t>
            </w:r>
            <w:r>
              <w:rPr>
                <w:rFonts w:hint="eastAsia" w:asciiTheme="majorEastAsia" w:hAnsiTheme="majorEastAsia" w:eastAsiaTheme="majorEastAsia"/>
                <w:szCs w:val="21"/>
              </w:rPr>
              <w:t>扣5分。“两个体系”建设实施方案未明确实施时间、责任人与分工、工作任务等，一项不符合扣2分。</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4、</w:t>
            </w:r>
            <w:r>
              <w:rPr>
                <w:rFonts w:hint="eastAsia" w:asciiTheme="majorEastAsia" w:hAnsiTheme="majorEastAsia" w:eastAsiaTheme="majorEastAsia"/>
                <w:szCs w:val="21"/>
                <w:lang w:eastAsia="zh-CN"/>
              </w:rPr>
              <w:t>企业</w:t>
            </w:r>
            <w:r>
              <w:rPr>
                <w:rFonts w:hint="eastAsia" w:asciiTheme="majorEastAsia" w:hAnsiTheme="majorEastAsia" w:eastAsiaTheme="majorEastAsia"/>
                <w:szCs w:val="21"/>
              </w:rPr>
              <w:t>主要负责人、分管负责人及各岗位人员未履行“两个体系”建设职责的，每人次扣</w:t>
            </w:r>
            <w:r>
              <w:rPr>
                <w:rFonts w:hint="eastAsia" w:asciiTheme="majorEastAsia" w:hAnsiTheme="majorEastAsia" w:eastAsiaTheme="majorEastAsia"/>
                <w:szCs w:val="21"/>
                <w:lang w:val="en-US" w:eastAsia="zh-CN"/>
              </w:rPr>
              <w:t>2</w:t>
            </w:r>
            <w:r>
              <w:rPr>
                <w:rFonts w:hint="eastAsia" w:asciiTheme="majorEastAsia" w:hAnsiTheme="majorEastAsia" w:eastAsiaTheme="majorEastAsia"/>
                <w:szCs w:val="21"/>
              </w:rPr>
              <w:t>分。</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b/>
                <w:szCs w:val="21"/>
              </w:rPr>
            </w:pPr>
            <w:r>
              <w:rPr>
                <w:b/>
                <w:szCs w:val="20"/>
              </w:rPr>
              <w:t>否决项</w:t>
            </w:r>
            <w:r>
              <w:rPr>
                <w:rFonts w:hint="eastAsia" w:asciiTheme="majorEastAsia" w:hAnsiTheme="majorEastAsia" w:eastAsiaTheme="majorEastAsia"/>
                <w:b/>
                <w:szCs w:val="21"/>
              </w:rPr>
              <w:t>：</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未建立“两个体系”组织机构，明确企业主要负责人，</w:t>
            </w:r>
            <w:r>
              <w:rPr>
                <w:rFonts w:hint="eastAsia"/>
                <w:szCs w:val="21"/>
              </w:rPr>
              <w:t>分管负责人及各部门负责人及重要岗位人员</w:t>
            </w:r>
            <w:r>
              <w:rPr>
                <w:rFonts w:hint="eastAsia" w:asciiTheme="majorEastAsia" w:hAnsiTheme="majorEastAsia" w:eastAsiaTheme="majorEastAsia"/>
                <w:szCs w:val="21"/>
              </w:rPr>
              <w:t>相关职责的，评定验收不通过。</w:t>
            </w:r>
          </w:p>
        </w:tc>
        <w:tc>
          <w:tcPr>
            <w:tcW w:w="2850" w:type="dxa"/>
          </w:tcPr>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b/>
                <w:szCs w:val="21"/>
              </w:rPr>
            </w:pPr>
            <w:r>
              <w:rPr>
                <w:rFonts w:asciiTheme="majorEastAsia" w:hAnsiTheme="majorEastAsia" w:eastAsiaTheme="majorEastAsia"/>
                <w:b/>
                <w:szCs w:val="21"/>
              </w:rPr>
              <w:t>查文件</w:t>
            </w:r>
            <w:r>
              <w:rPr>
                <w:rFonts w:hint="eastAsia" w:asciiTheme="majorEastAsia" w:hAnsiTheme="majorEastAsia" w:eastAsiaTheme="majorEastAsia"/>
                <w:b/>
                <w:szCs w:val="21"/>
              </w:rPr>
              <w:t>：</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下发的正式文件、安全生产责任制度。</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查阅“两个体系”建设实施方案，并对照实际实施情况。</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b/>
                <w:szCs w:val="21"/>
              </w:rPr>
            </w:pPr>
            <w:r>
              <w:rPr>
                <w:rFonts w:hint="eastAsia" w:asciiTheme="majorEastAsia" w:hAnsiTheme="majorEastAsia" w:eastAsiaTheme="majorEastAsia"/>
                <w:b/>
                <w:szCs w:val="21"/>
              </w:rPr>
              <w:t>询问：</w:t>
            </w:r>
          </w:p>
          <w:p>
            <w:pPr>
              <w:keepNext w:val="0"/>
              <w:keepLines w:val="0"/>
              <w:pageBreakBefore w:val="0"/>
              <w:kinsoku/>
              <w:overflowPunct/>
              <w:bidi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lang w:eastAsia="zh-CN"/>
              </w:rPr>
              <w:t>企业</w:t>
            </w:r>
            <w:r>
              <w:rPr>
                <w:rFonts w:hint="eastAsia" w:asciiTheme="majorEastAsia" w:hAnsiTheme="majorEastAsia" w:eastAsiaTheme="majorEastAsia"/>
                <w:szCs w:val="21"/>
              </w:rPr>
              <w:t>主要负责人、分管负责人及各层级、各岗位人员是否</w:t>
            </w:r>
            <w:r>
              <w:rPr>
                <w:rFonts w:hint="eastAsia" w:asciiTheme="majorEastAsia" w:hAnsiTheme="majorEastAsia" w:eastAsiaTheme="majorEastAsia"/>
                <w:szCs w:val="21"/>
                <w:lang w:eastAsia="zh-CN"/>
              </w:rPr>
              <w:t>掌握</w:t>
            </w:r>
            <w:r>
              <w:rPr>
                <w:rFonts w:hint="eastAsia" w:asciiTheme="majorEastAsia" w:hAnsiTheme="majorEastAsia" w:eastAsiaTheme="majorEastAsia"/>
                <w:szCs w:val="21"/>
              </w:rPr>
              <w:t>“两个体系”建设基本要求及应履行的主要职责。</w:t>
            </w:r>
          </w:p>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p>
        </w:tc>
        <w:tc>
          <w:tcPr>
            <w:tcW w:w="1615" w:type="dxa"/>
            <w:vAlign w:val="center"/>
          </w:tcPr>
          <w:p>
            <w:pPr>
              <w:keepNext w:val="0"/>
              <w:keepLines w:val="0"/>
              <w:pageBreakBefore w:val="0"/>
              <w:widowControl/>
              <w:kinsoku/>
              <w:overflowPunct/>
              <w:bidi w:val="0"/>
              <w:adjustRightInd w:val="0"/>
              <w:snapToGrid w:val="0"/>
              <w:spacing w:line="360" w:lineRule="exact"/>
              <w:ind w:right="0" w:rightChars="0"/>
              <w:jc w:val="center"/>
              <w:textAlignment w:val="auto"/>
              <w:rPr>
                <w:rFonts w:asciiTheme="majorEastAsia" w:hAnsiTheme="majorEastAsia" w:eastAsiaTheme="majorEastAsia"/>
                <w:szCs w:val="21"/>
              </w:rPr>
            </w:pPr>
          </w:p>
        </w:tc>
        <w:tc>
          <w:tcPr>
            <w:tcW w:w="865" w:type="dxa"/>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Merge w:val="continue"/>
            <w:vAlign w:val="center"/>
          </w:tcPr>
          <w:p>
            <w:pPr>
              <w:keepNext w:val="0"/>
              <w:keepLines w:val="0"/>
              <w:pageBreakBefore w:val="0"/>
              <w:kinsoku/>
              <w:overflowPunct/>
              <w:bidi w:val="0"/>
              <w:adjustRightInd w:val="0"/>
              <w:snapToGrid w:val="0"/>
              <w:spacing w:line="360" w:lineRule="exact"/>
              <w:ind w:right="0" w:rightChars="0"/>
              <w:jc w:val="center"/>
              <w:textAlignment w:val="auto"/>
              <w:rPr>
                <w:rFonts w:asciiTheme="majorEastAsia" w:hAnsiTheme="majorEastAsia" w:eastAsiaTheme="majorEastAsia"/>
                <w:b/>
                <w:szCs w:val="21"/>
              </w:rPr>
            </w:pPr>
          </w:p>
        </w:tc>
        <w:tc>
          <w:tcPr>
            <w:tcW w:w="1499" w:type="dxa"/>
            <w:vAlign w:val="center"/>
          </w:tcPr>
          <w:p>
            <w:pPr>
              <w:keepNext w:val="0"/>
              <w:keepLines w:val="0"/>
              <w:pageBreakBefore w:val="0"/>
              <w:widowControl/>
              <w:kinsoku/>
              <w:overflowPunct/>
              <w:bidi w:val="0"/>
              <w:adjustRightInd w:val="0"/>
              <w:snapToGrid w:val="0"/>
              <w:spacing w:line="360" w:lineRule="exact"/>
              <w:ind w:right="0" w:rightChars="0"/>
              <w:textAlignment w:val="auto"/>
              <w:rPr>
                <w:rFonts w:hint="eastAsia" w:asciiTheme="majorEastAsia" w:hAnsiTheme="majorEastAsia" w:eastAsiaTheme="majorEastAsia"/>
                <w:szCs w:val="21"/>
              </w:rPr>
            </w:pPr>
            <w:r>
              <w:rPr>
                <w:rFonts w:hint="eastAsia" w:asciiTheme="majorEastAsia" w:hAnsiTheme="majorEastAsia" w:eastAsiaTheme="majorEastAsia"/>
                <w:szCs w:val="21"/>
              </w:rPr>
              <w:t>全员培训</w:t>
            </w:r>
          </w:p>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（20分）</w:t>
            </w:r>
          </w:p>
        </w:tc>
        <w:tc>
          <w:tcPr>
            <w:tcW w:w="2792" w:type="dxa"/>
            <w:vAlign w:val="center"/>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1、企业应制定“两个体系”建设</w:t>
            </w:r>
            <w:r>
              <w:rPr>
                <w:rFonts w:asciiTheme="majorEastAsia" w:hAnsiTheme="majorEastAsia" w:eastAsiaTheme="majorEastAsia"/>
                <w:szCs w:val="21"/>
              </w:rPr>
              <w:t>培训计划</w:t>
            </w:r>
            <w:r>
              <w:rPr>
                <w:rFonts w:hint="eastAsia" w:asciiTheme="majorEastAsia" w:hAnsiTheme="majorEastAsia" w:eastAsiaTheme="majorEastAsia"/>
                <w:szCs w:val="21"/>
              </w:rPr>
              <w:t>，明确培训学时、</w:t>
            </w:r>
            <w:r>
              <w:rPr>
                <w:rFonts w:hint="eastAsia" w:asciiTheme="majorEastAsia" w:hAnsiTheme="majorEastAsia" w:eastAsiaTheme="majorEastAsia"/>
                <w:szCs w:val="21"/>
                <w:lang w:eastAsia="zh-CN"/>
              </w:rPr>
              <w:t>培训</w:t>
            </w:r>
            <w:r>
              <w:rPr>
                <w:rFonts w:hint="eastAsia" w:asciiTheme="majorEastAsia" w:hAnsiTheme="majorEastAsia" w:eastAsiaTheme="majorEastAsia"/>
                <w:szCs w:val="21"/>
              </w:rPr>
              <w:t>内容、参加人员</w:t>
            </w:r>
            <w:r>
              <w:rPr>
                <w:rFonts w:hint="eastAsia" w:asciiTheme="majorEastAsia" w:hAnsiTheme="majorEastAsia" w:eastAsiaTheme="majorEastAsia"/>
                <w:szCs w:val="21"/>
                <w:lang w:eastAsia="zh-CN"/>
              </w:rPr>
              <w:t>、考核方式、相关奖惩</w:t>
            </w:r>
            <w:r>
              <w:rPr>
                <w:rFonts w:hint="eastAsia" w:asciiTheme="majorEastAsia" w:hAnsiTheme="majorEastAsia" w:eastAsiaTheme="majorEastAsia"/>
                <w:szCs w:val="21"/>
              </w:rPr>
              <w:t>等。</w:t>
            </w:r>
          </w:p>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2、应分层次、分阶段组织进行“两个体系”建设的培训，培训内容应符合相关地方标准要求。</w:t>
            </w:r>
          </w:p>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3、培训结束须进行闭卷考试，考核结果应记入培训档案。</w:t>
            </w:r>
          </w:p>
        </w:tc>
        <w:tc>
          <w:tcPr>
            <w:tcW w:w="3877" w:type="dxa"/>
          </w:tcPr>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1、企业未制定“两个体系”建设培训计划或计划不具体</w:t>
            </w:r>
            <w:r>
              <w:rPr>
                <w:rFonts w:hint="eastAsia" w:asciiTheme="majorEastAsia" w:hAnsiTheme="majorEastAsia" w:eastAsiaTheme="majorEastAsia"/>
                <w:szCs w:val="21"/>
                <w:lang w:eastAsia="zh-CN"/>
              </w:rPr>
              <w:t>的</w:t>
            </w:r>
            <w:r>
              <w:rPr>
                <w:rFonts w:hint="eastAsia" w:asciiTheme="majorEastAsia" w:hAnsiTheme="majorEastAsia" w:eastAsiaTheme="majorEastAsia"/>
                <w:szCs w:val="21"/>
              </w:rPr>
              <w:t>，扣5分。</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2、培训记录或档案不详实，无签到表，无教材或课件、教师等相关记录</w:t>
            </w:r>
            <w:r>
              <w:rPr>
                <w:rFonts w:hint="eastAsia" w:asciiTheme="majorEastAsia" w:hAnsiTheme="majorEastAsia" w:eastAsiaTheme="majorEastAsia"/>
                <w:szCs w:val="21"/>
                <w:lang w:eastAsia="zh-CN"/>
              </w:rPr>
              <w:t>的</w:t>
            </w:r>
            <w:r>
              <w:rPr>
                <w:rFonts w:hint="eastAsia" w:asciiTheme="majorEastAsia" w:hAnsiTheme="majorEastAsia" w:eastAsiaTheme="majorEastAsia"/>
                <w:szCs w:val="21"/>
              </w:rPr>
              <w:t>，扣5分</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3、未对全员进行“两个体系”建设培训，缺少部门/岗位的</w:t>
            </w:r>
            <w:r>
              <w:rPr>
                <w:rFonts w:hint="eastAsia" w:asciiTheme="majorEastAsia" w:hAnsiTheme="majorEastAsia" w:eastAsiaTheme="majorEastAsia"/>
                <w:szCs w:val="21"/>
                <w:lang w:eastAsia="zh-CN"/>
              </w:rPr>
              <w:t>一项</w:t>
            </w:r>
            <w:r>
              <w:rPr>
                <w:rFonts w:hint="eastAsia" w:asciiTheme="majorEastAsia" w:hAnsiTheme="majorEastAsia" w:eastAsiaTheme="majorEastAsia"/>
                <w:szCs w:val="21"/>
              </w:rPr>
              <w:t>扣2分。</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4、培训结束未组织进行闭卷考试</w:t>
            </w:r>
            <w:r>
              <w:rPr>
                <w:rFonts w:hint="eastAsia" w:asciiTheme="majorEastAsia" w:hAnsiTheme="majorEastAsia" w:eastAsiaTheme="majorEastAsia"/>
                <w:szCs w:val="21"/>
                <w:lang w:eastAsia="zh-CN"/>
              </w:rPr>
              <w:t>的</w:t>
            </w:r>
            <w:r>
              <w:rPr>
                <w:rFonts w:hint="eastAsia" w:asciiTheme="majorEastAsia" w:hAnsiTheme="majorEastAsia" w:eastAsiaTheme="majorEastAsia"/>
                <w:szCs w:val="21"/>
              </w:rPr>
              <w:t>，扣5分。</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b/>
                <w:szCs w:val="21"/>
              </w:rPr>
            </w:pPr>
            <w:r>
              <w:rPr>
                <w:b/>
                <w:szCs w:val="20"/>
              </w:rPr>
              <w:t>否决项</w:t>
            </w:r>
            <w:r>
              <w:rPr>
                <w:rFonts w:hint="eastAsia" w:asciiTheme="majorEastAsia" w:hAnsiTheme="majorEastAsia" w:eastAsiaTheme="majorEastAsia"/>
                <w:b/>
                <w:szCs w:val="21"/>
              </w:rPr>
              <w:t>：</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抽查10%的相关岗位人员，5人及以上未掌握企业“两个体系”建设培训内容，验收评定不予通过。</w:t>
            </w:r>
          </w:p>
        </w:tc>
        <w:tc>
          <w:tcPr>
            <w:tcW w:w="2850" w:type="dxa"/>
          </w:tcPr>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b/>
                <w:szCs w:val="21"/>
              </w:rPr>
            </w:pPr>
            <w:r>
              <w:rPr>
                <w:rFonts w:asciiTheme="majorEastAsia" w:hAnsiTheme="majorEastAsia" w:eastAsiaTheme="majorEastAsia"/>
                <w:b/>
                <w:szCs w:val="21"/>
              </w:rPr>
              <w:t>查</w:t>
            </w:r>
            <w:r>
              <w:rPr>
                <w:rFonts w:hint="eastAsia" w:asciiTheme="majorEastAsia" w:hAnsiTheme="majorEastAsia" w:eastAsiaTheme="majorEastAsia"/>
                <w:b/>
                <w:szCs w:val="21"/>
              </w:rPr>
              <w:t>资料：</w:t>
            </w:r>
          </w:p>
          <w:p>
            <w:pPr>
              <w:pStyle w:val="36"/>
              <w:keepNext w:val="0"/>
              <w:keepLines w:val="0"/>
              <w:pageBreakBefore w:val="0"/>
              <w:numPr>
                <w:ilvl w:val="0"/>
                <w:numId w:val="4"/>
              </w:numPr>
              <w:kinsoku/>
              <w:overflowPunct/>
              <w:bidi w:val="0"/>
              <w:adjustRightInd w:val="0"/>
              <w:snapToGrid w:val="0"/>
              <w:spacing w:line="360" w:lineRule="exact"/>
              <w:ind w:right="0" w:rightChars="0"/>
              <w:textAlignment w:val="auto"/>
              <w:rPr>
                <w:rFonts w:asciiTheme="majorEastAsia" w:hAnsiTheme="majorEastAsia" w:eastAsiaTheme="majorEastAsia"/>
                <w:sz w:val="21"/>
                <w:szCs w:val="21"/>
              </w:rPr>
            </w:pPr>
            <w:r>
              <w:rPr>
                <w:rFonts w:hint="eastAsia" w:asciiTheme="majorEastAsia" w:hAnsiTheme="majorEastAsia" w:eastAsiaTheme="majorEastAsia"/>
                <w:sz w:val="21"/>
                <w:szCs w:val="21"/>
              </w:rPr>
              <w:t>培训计划</w:t>
            </w:r>
            <w:r>
              <w:rPr>
                <w:rFonts w:hint="eastAsia" w:asciiTheme="majorEastAsia" w:hAnsiTheme="majorEastAsia" w:eastAsiaTheme="majorEastAsia"/>
                <w:sz w:val="21"/>
                <w:szCs w:val="21"/>
                <w:lang w:eastAsia="zh-CN"/>
              </w:rPr>
              <w:t>。</w:t>
            </w:r>
          </w:p>
          <w:p>
            <w:pPr>
              <w:pStyle w:val="36"/>
              <w:keepNext w:val="0"/>
              <w:keepLines w:val="0"/>
              <w:pageBreakBefore w:val="0"/>
              <w:numPr>
                <w:ilvl w:val="0"/>
                <w:numId w:val="4"/>
              </w:numPr>
              <w:kinsoku/>
              <w:overflowPunct/>
              <w:bidi w:val="0"/>
              <w:adjustRightInd w:val="0"/>
              <w:snapToGrid w:val="0"/>
              <w:spacing w:line="360" w:lineRule="exact"/>
              <w:ind w:right="0" w:rightChars="0"/>
              <w:textAlignment w:val="auto"/>
              <w:rPr>
                <w:rFonts w:asciiTheme="majorEastAsia" w:hAnsiTheme="majorEastAsia" w:eastAsiaTheme="majorEastAsia"/>
                <w:sz w:val="21"/>
                <w:szCs w:val="21"/>
              </w:rPr>
            </w:pPr>
            <w:r>
              <w:rPr>
                <w:rFonts w:hint="eastAsia" w:asciiTheme="majorEastAsia" w:hAnsiTheme="majorEastAsia" w:eastAsiaTheme="majorEastAsia"/>
                <w:sz w:val="21"/>
                <w:szCs w:val="21"/>
              </w:rPr>
              <w:t>培训教育记录与档案</w:t>
            </w:r>
            <w:r>
              <w:rPr>
                <w:rFonts w:hint="eastAsia" w:asciiTheme="majorEastAsia" w:hAnsiTheme="majorEastAsia" w:eastAsiaTheme="majorEastAsia"/>
                <w:sz w:val="21"/>
                <w:szCs w:val="21"/>
                <w:lang w:eastAsia="zh-CN"/>
              </w:rPr>
              <w:t>。</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b/>
                <w:bCs/>
                <w:szCs w:val="21"/>
              </w:rPr>
            </w:pPr>
            <w:r>
              <w:rPr>
                <w:rFonts w:hint="eastAsia" w:asciiTheme="majorEastAsia" w:hAnsiTheme="majorEastAsia" w:eastAsiaTheme="majorEastAsia"/>
                <w:b/>
                <w:bCs/>
                <w:szCs w:val="21"/>
                <w:lang w:eastAsia="zh-CN"/>
              </w:rPr>
              <w:t>抽查问询</w:t>
            </w:r>
            <w:r>
              <w:rPr>
                <w:rFonts w:hint="eastAsia" w:asciiTheme="majorEastAsia" w:hAnsiTheme="majorEastAsia" w:eastAsiaTheme="majorEastAsia"/>
                <w:b/>
                <w:bCs/>
                <w:szCs w:val="21"/>
              </w:rPr>
              <w:t>：</w:t>
            </w:r>
          </w:p>
          <w:p>
            <w:pPr>
              <w:keepNext w:val="0"/>
              <w:keepLines w:val="0"/>
              <w:pageBreakBefore w:val="0"/>
              <w:kinsoku/>
              <w:overflowPunct/>
              <w:bidi w:val="0"/>
              <w:adjustRightInd w:val="0"/>
              <w:snapToGrid w:val="0"/>
              <w:spacing w:line="360" w:lineRule="exact"/>
              <w:ind w:right="0" w:rightChars="0"/>
              <w:textAlignment w:val="auto"/>
              <w:rPr>
                <w:szCs w:val="21"/>
              </w:rPr>
            </w:pPr>
            <w:r>
              <w:rPr>
                <w:rFonts w:hint="eastAsia" w:asciiTheme="majorEastAsia" w:hAnsiTheme="majorEastAsia" w:eastAsiaTheme="majorEastAsia"/>
                <w:szCs w:val="21"/>
              </w:rPr>
              <w:t>抽查</w:t>
            </w:r>
            <w:r>
              <w:rPr>
                <w:rFonts w:hint="eastAsia" w:asciiTheme="majorEastAsia" w:hAnsiTheme="majorEastAsia" w:eastAsiaTheme="majorEastAsia"/>
                <w:szCs w:val="21"/>
                <w:lang w:eastAsia="zh-CN"/>
              </w:rPr>
              <w:t>、问询</w:t>
            </w:r>
            <w:r>
              <w:rPr>
                <w:rFonts w:hint="eastAsia" w:asciiTheme="majorEastAsia" w:hAnsiTheme="majorEastAsia" w:eastAsiaTheme="majorEastAsia"/>
                <w:szCs w:val="21"/>
              </w:rPr>
              <w:t>各层级、各岗位人员是否掌握“两个体系”建设培训内容</w:t>
            </w:r>
            <w:r>
              <w:rPr>
                <w:rFonts w:hint="eastAsia" w:asciiTheme="majorEastAsia" w:hAnsiTheme="majorEastAsia" w:eastAsiaTheme="majorEastAsia"/>
                <w:szCs w:val="21"/>
                <w:lang w:eastAsia="zh-CN"/>
              </w:rPr>
              <w:t>，主要包括</w:t>
            </w:r>
            <w:r>
              <w:rPr>
                <w:rFonts w:hint="eastAsia" w:asciiTheme="majorEastAsia" w:hAnsiTheme="majorEastAsia" w:eastAsiaTheme="majorEastAsia"/>
                <w:szCs w:val="21"/>
              </w:rPr>
              <w:t>风险分级管控的内容与标准、工作程序、方法等</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rPr>
              <w:t>隐患排查治理的内容与标准、工作程序、方法等。</w:t>
            </w:r>
          </w:p>
        </w:tc>
        <w:tc>
          <w:tcPr>
            <w:tcW w:w="1615" w:type="dxa"/>
            <w:vAlign w:val="center"/>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p>
        </w:tc>
        <w:tc>
          <w:tcPr>
            <w:tcW w:w="865" w:type="dxa"/>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Merge w:val="continue"/>
            <w:vAlign w:val="center"/>
          </w:tcPr>
          <w:p>
            <w:pPr>
              <w:keepNext w:val="0"/>
              <w:keepLines w:val="0"/>
              <w:pageBreakBefore w:val="0"/>
              <w:widowControl/>
              <w:kinsoku/>
              <w:overflowPunct/>
              <w:bidi w:val="0"/>
              <w:adjustRightInd w:val="0"/>
              <w:snapToGrid w:val="0"/>
              <w:spacing w:line="360" w:lineRule="exact"/>
              <w:ind w:right="0" w:rightChars="0"/>
              <w:jc w:val="center"/>
              <w:textAlignment w:val="auto"/>
              <w:rPr>
                <w:rFonts w:asciiTheme="majorEastAsia" w:hAnsiTheme="majorEastAsia" w:eastAsiaTheme="majorEastAsia"/>
                <w:b/>
                <w:szCs w:val="21"/>
              </w:rPr>
            </w:pPr>
          </w:p>
        </w:tc>
        <w:tc>
          <w:tcPr>
            <w:tcW w:w="1499" w:type="dxa"/>
            <w:vAlign w:val="center"/>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体系文件</w:t>
            </w:r>
          </w:p>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（20分）</w:t>
            </w:r>
          </w:p>
        </w:tc>
        <w:tc>
          <w:tcPr>
            <w:tcW w:w="2792" w:type="dxa"/>
            <w:vAlign w:val="center"/>
          </w:tcPr>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1、企业应制定符合“两个体系”建设标准要求的</w:t>
            </w:r>
            <w:r>
              <w:rPr>
                <w:rFonts w:asciiTheme="majorEastAsia" w:hAnsiTheme="majorEastAsia" w:eastAsiaTheme="majorEastAsia"/>
                <w:szCs w:val="21"/>
              </w:rPr>
              <w:t>风险分级管控和隐患排查治理制度</w:t>
            </w:r>
            <w:r>
              <w:rPr>
                <w:rFonts w:hint="eastAsia" w:asciiTheme="majorEastAsia" w:hAnsiTheme="majorEastAsia" w:eastAsiaTheme="majorEastAsia"/>
                <w:szCs w:val="21"/>
                <w:lang w:eastAsia="zh-CN"/>
              </w:rPr>
              <w:t>、</w:t>
            </w:r>
            <w:r>
              <w:rPr>
                <w:rFonts w:asciiTheme="majorEastAsia" w:hAnsiTheme="majorEastAsia" w:eastAsiaTheme="majorEastAsia"/>
                <w:szCs w:val="21"/>
              </w:rPr>
              <w:t>作业</w:t>
            </w:r>
            <w:r>
              <w:rPr>
                <w:rFonts w:hint="eastAsia" w:asciiTheme="majorEastAsia" w:hAnsiTheme="majorEastAsia" w:eastAsiaTheme="majorEastAsia"/>
                <w:szCs w:val="21"/>
              </w:rPr>
              <w:t>指导书等体系文件。</w:t>
            </w:r>
          </w:p>
          <w:p>
            <w:pPr>
              <w:keepNext w:val="0"/>
              <w:keepLines w:val="0"/>
              <w:pageBreakBefore w:val="0"/>
              <w:kinsoku/>
              <w:wordWrap w:val="0"/>
              <w:overflowPunct/>
              <w:topLinePunct/>
              <w:bidi w:val="0"/>
              <w:adjustRightInd w:val="0"/>
              <w:snapToGrid w:val="0"/>
              <w:spacing w:line="360" w:lineRule="exact"/>
              <w:ind w:right="0" w:rightChars="0"/>
              <w:textAlignment w:val="auto"/>
              <w:rPr>
                <w:szCs w:val="20"/>
              </w:rPr>
            </w:pPr>
            <w:r>
              <w:rPr>
                <w:rFonts w:hint="eastAsia"/>
                <w:szCs w:val="20"/>
              </w:rPr>
              <w:t>2、体系文件应符合企业实际、具有可操作性，</w:t>
            </w:r>
            <w:r>
              <w:rPr>
                <w:rFonts w:asciiTheme="majorEastAsia" w:hAnsiTheme="majorEastAsia" w:eastAsiaTheme="majorEastAsia"/>
                <w:szCs w:val="21"/>
              </w:rPr>
              <w:t>并传达至各部门</w:t>
            </w:r>
            <w:r>
              <w:rPr>
                <w:rFonts w:hint="eastAsia" w:asciiTheme="majorEastAsia" w:hAnsiTheme="majorEastAsia" w:eastAsiaTheme="majorEastAsia"/>
                <w:szCs w:val="21"/>
              </w:rPr>
              <w:t>/</w:t>
            </w:r>
            <w:r>
              <w:rPr>
                <w:rFonts w:asciiTheme="majorEastAsia" w:hAnsiTheme="majorEastAsia" w:eastAsiaTheme="majorEastAsia"/>
                <w:szCs w:val="21"/>
              </w:rPr>
              <w:t>岗位</w:t>
            </w:r>
            <w:r>
              <w:rPr>
                <w:rFonts w:hint="eastAsia" w:asciiTheme="majorEastAsia" w:hAnsiTheme="majorEastAsia" w:eastAsiaTheme="majorEastAsia"/>
                <w:szCs w:val="21"/>
              </w:rPr>
              <w:t>。</w:t>
            </w:r>
          </w:p>
        </w:tc>
        <w:tc>
          <w:tcPr>
            <w:tcW w:w="3877" w:type="dxa"/>
          </w:tcPr>
          <w:p>
            <w:pPr>
              <w:keepNext w:val="0"/>
              <w:keepLines w:val="0"/>
              <w:pageBreakBefore w:val="0"/>
              <w:kinsoku/>
              <w:overflowPunct/>
              <w:bidi w:val="0"/>
              <w:adjustRightInd w:val="0"/>
              <w:snapToGrid w:val="0"/>
              <w:spacing w:line="360" w:lineRule="exact"/>
              <w:ind w:right="0" w:rightChars="0"/>
              <w:textAlignment w:val="auto"/>
              <w:rPr>
                <w:rFonts w:hint="eastAsia" w:asciiTheme="majorEastAsia" w:hAnsiTheme="majorEastAsia" w:eastAsiaTheme="majorEastAsia"/>
                <w:szCs w:val="21"/>
              </w:rPr>
            </w:pPr>
            <w:r>
              <w:rPr>
                <w:rFonts w:hint="eastAsia" w:asciiTheme="majorEastAsia" w:hAnsiTheme="majorEastAsia" w:eastAsiaTheme="majorEastAsia"/>
                <w:szCs w:val="21"/>
              </w:rPr>
              <w:t>1、未制定风险分级管控制度</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rPr>
              <w:t>作业指导书等体系文件</w:t>
            </w:r>
            <w:r>
              <w:rPr>
                <w:rFonts w:hint="eastAsia" w:asciiTheme="majorEastAsia" w:hAnsiTheme="majorEastAsia" w:eastAsiaTheme="majorEastAsia"/>
                <w:szCs w:val="21"/>
                <w:lang w:eastAsia="zh-CN"/>
              </w:rPr>
              <w:t>的，</w:t>
            </w:r>
            <w:r>
              <w:rPr>
                <w:rFonts w:hint="eastAsia" w:asciiTheme="majorEastAsia" w:hAnsiTheme="majorEastAsia" w:eastAsiaTheme="majorEastAsia"/>
                <w:szCs w:val="21"/>
              </w:rPr>
              <w:t>扣10分。</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lang w:val="en-US" w:eastAsia="zh-CN"/>
              </w:rPr>
              <w:t>2、</w:t>
            </w:r>
            <w:r>
              <w:rPr>
                <w:rFonts w:hint="eastAsia" w:asciiTheme="majorEastAsia" w:hAnsiTheme="majorEastAsia" w:eastAsiaTheme="majorEastAsia"/>
                <w:szCs w:val="21"/>
              </w:rPr>
              <w:t>未制定隐患排查治理制度</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rPr>
              <w:t>作业指导书等体系文件</w:t>
            </w:r>
            <w:r>
              <w:rPr>
                <w:rFonts w:hint="eastAsia" w:asciiTheme="majorEastAsia" w:hAnsiTheme="majorEastAsia" w:eastAsiaTheme="majorEastAsia"/>
                <w:szCs w:val="21"/>
                <w:lang w:eastAsia="zh-CN"/>
              </w:rPr>
              <w:t>的，</w:t>
            </w:r>
            <w:r>
              <w:rPr>
                <w:rFonts w:hint="eastAsia" w:asciiTheme="majorEastAsia" w:hAnsiTheme="majorEastAsia" w:eastAsiaTheme="majorEastAsia"/>
                <w:szCs w:val="21"/>
              </w:rPr>
              <w:t>扣10分。</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lang w:val="en-US" w:eastAsia="zh-CN"/>
              </w:rPr>
              <w:t>3</w:t>
            </w:r>
            <w:r>
              <w:rPr>
                <w:rFonts w:hint="eastAsia" w:asciiTheme="majorEastAsia" w:hAnsiTheme="majorEastAsia" w:eastAsiaTheme="majorEastAsia"/>
                <w:szCs w:val="21"/>
              </w:rPr>
              <w:t>、制度</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rPr>
              <w:t>作业指导书等体系文件不符合企业实际、不具有可操作性</w:t>
            </w:r>
            <w:r>
              <w:rPr>
                <w:rFonts w:hint="eastAsia"/>
                <w:szCs w:val="21"/>
              </w:rPr>
              <w:t>，未明确责任部门、职责、工作内容，一项内容</w:t>
            </w:r>
            <w:r>
              <w:rPr>
                <w:rFonts w:hint="eastAsia"/>
                <w:szCs w:val="21"/>
                <w:lang w:eastAsia="zh-CN"/>
              </w:rPr>
              <w:t>不符合</w:t>
            </w:r>
            <w:r>
              <w:rPr>
                <w:rFonts w:hint="eastAsia"/>
                <w:szCs w:val="21"/>
              </w:rPr>
              <w:t>扣2分</w:t>
            </w:r>
            <w:r>
              <w:rPr>
                <w:rFonts w:hint="eastAsia" w:asciiTheme="majorEastAsia" w:hAnsiTheme="majorEastAsia" w:eastAsiaTheme="majorEastAsia"/>
                <w:szCs w:val="21"/>
              </w:rPr>
              <w:t>。</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3、制度</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rPr>
              <w:t>作业指导书等体系文件未传达到各部门/岗位，发现一个部门/岗位扣</w:t>
            </w:r>
            <w:r>
              <w:rPr>
                <w:rFonts w:hint="eastAsia" w:asciiTheme="majorEastAsia" w:hAnsiTheme="majorEastAsia" w:eastAsiaTheme="majorEastAsia"/>
                <w:szCs w:val="21"/>
                <w:lang w:val="en-US" w:eastAsia="zh-CN"/>
              </w:rPr>
              <w:t>2</w:t>
            </w:r>
            <w:r>
              <w:rPr>
                <w:rFonts w:hint="eastAsia" w:asciiTheme="majorEastAsia" w:hAnsiTheme="majorEastAsia" w:eastAsiaTheme="majorEastAsia"/>
                <w:szCs w:val="21"/>
                <w:lang w:val="en-US"/>
              </w:rPr>
              <w:t>分。</w:t>
            </w:r>
          </w:p>
        </w:tc>
        <w:tc>
          <w:tcPr>
            <w:tcW w:w="2850" w:type="dxa"/>
          </w:tcPr>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b/>
                <w:szCs w:val="21"/>
              </w:rPr>
            </w:pPr>
            <w:r>
              <w:rPr>
                <w:rFonts w:asciiTheme="majorEastAsia" w:hAnsiTheme="majorEastAsia" w:eastAsiaTheme="majorEastAsia"/>
                <w:b/>
                <w:szCs w:val="21"/>
              </w:rPr>
              <w:t>查</w:t>
            </w:r>
            <w:r>
              <w:rPr>
                <w:rFonts w:hint="eastAsia" w:asciiTheme="majorEastAsia" w:hAnsiTheme="majorEastAsia" w:eastAsiaTheme="majorEastAsia"/>
                <w:b/>
                <w:szCs w:val="21"/>
              </w:rPr>
              <w:t>资料：</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1、风险分级管控制度和隐患排查治理制度或</w:t>
            </w:r>
            <w:r>
              <w:rPr>
                <w:rFonts w:asciiTheme="majorEastAsia" w:hAnsiTheme="majorEastAsia" w:eastAsiaTheme="majorEastAsia"/>
                <w:szCs w:val="21"/>
              </w:rPr>
              <w:t>作业</w:t>
            </w:r>
            <w:r>
              <w:rPr>
                <w:rFonts w:hint="eastAsia" w:asciiTheme="majorEastAsia" w:hAnsiTheme="majorEastAsia" w:eastAsiaTheme="majorEastAsia"/>
                <w:szCs w:val="21"/>
              </w:rPr>
              <w:t>指导书等体系文件文本。</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2、制度</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rPr>
              <w:t>作业指导书等体系文件发放或传达记录。</w:t>
            </w:r>
          </w:p>
          <w:p>
            <w:pPr>
              <w:keepNext w:val="0"/>
              <w:keepLines w:val="0"/>
              <w:pageBreakBefore w:val="0"/>
              <w:kinsoku/>
              <w:overflowPunct/>
              <w:bidi w:val="0"/>
              <w:spacing w:line="360" w:lineRule="exact"/>
              <w:ind w:right="0" w:rightChars="0"/>
              <w:textAlignment w:val="auto"/>
              <w:rPr>
                <w:rFonts w:ascii="新宋体" w:hAnsi="新宋体" w:eastAsia="新宋体"/>
                <w:b/>
                <w:snapToGrid w:val="0"/>
                <w:szCs w:val="21"/>
              </w:rPr>
            </w:pPr>
            <w:r>
              <w:rPr>
                <w:rFonts w:hint="eastAsia" w:ascii="新宋体" w:hAnsi="新宋体" w:eastAsia="新宋体"/>
                <w:b/>
                <w:snapToGrid w:val="0"/>
                <w:szCs w:val="21"/>
              </w:rPr>
              <w:t>现场检查：</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新宋体" w:hAnsi="新宋体" w:eastAsia="新宋体"/>
                <w:snapToGrid w:val="0"/>
                <w:szCs w:val="21"/>
              </w:rPr>
              <w:t>工作岗位是否已获取有效的风险分级管控和</w:t>
            </w:r>
            <w:r>
              <w:rPr>
                <w:rFonts w:hint="eastAsia" w:asciiTheme="majorEastAsia" w:hAnsiTheme="majorEastAsia" w:eastAsiaTheme="majorEastAsia"/>
                <w:szCs w:val="21"/>
              </w:rPr>
              <w:t>隐患排查治理制度制度或</w:t>
            </w:r>
            <w:r>
              <w:rPr>
                <w:rFonts w:asciiTheme="majorEastAsia" w:hAnsiTheme="majorEastAsia" w:eastAsiaTheme="majorEastAsia"/>
                <w:szCs w:val="21"/>
              </w:rPr>
              <w:t>作业</w:t>
            </w:r>
            <w:r>
              <w:rPr>
                <w:rFonts w:hint="eastAsia" w:asciiTheme="majorEastAsia" w:hAnsiTheme="majorEastAsia" w:eastAsiaTheme="majorEastAsia"/>
                <w:szCs w:val="21"/>
              </w:rPr>
              <w:t>指导书等体系文件</w:t>
            </w:r>
            <w:r>
              <w:rPr>
                <w:rFonts w:hint="eastAsia" w:asciiTheme="majorEastAsia" w:hAnsiTheme="majorEastAsia" w:eastAsiaTheme="majorEastAsia"/>
                <w:szCs w:val="21"/>
                <w:lang w:eastAsia="zh-CN"/>
              </w:rPr>
              <w:t>。</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p>
        </w:tc>
        <w:tc>
          <w:tcPr>
            <w:tcW w:w="1615" w:type="dxa"/>
            <w:vAlign w:val="center"/>
          </w:tcPr>
          <w:p>
            <w:pPr>
              <w:keepNext w:val="0"/>
              <w:keepLines w:val="0"/>
              <w:pageBreakBefore w:val="0"/>
              <w:kinsoku/>
              <w:overflowPunct/>
              <w:bidi w:val="0"/>
              <w:spacing w:line="360" w:lineRule="exact"/>
              <w:ind w:right="0" w:rightChars="0"/>
              <w:jc w:val="center"/>
              <w:textAlignment w:val="auto"/>
              <w:rPr>
                <w:rFonts w:asciiTheme="majorEastAsia" w:hAnsiTheme="majorEastAsia" w:eastAsiaTheme="majorEastAsia"/>
                <w:szCs w:val="21"/>
                <w:highlight w:val="yellow"/>
              </w:rPr>
            </w:pPr>
          </w:p>
        </w:tc>
        <w:tc>
          <w:tcPr>
            <w:tcW w:w="865" w:type="dxa"/>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Merge w:val="continue"/>
            <w:vAlign w:val="center"/>
          </w:tcPr>
          <w:p>
            <w:pPr>
              <w:keepNext w:val="0"/>
              <w:keepLines w:val="0"/>
              <w:pageBreakBefore w:val="0"/>
              <w:widowControl/>
              <w:kinsoku/>
              <w:overflowPunct/>
              <w:bidi w:val="0"/>
              <w:adjustRightInd w:val="0"/>
              <w:snapToGrid w:val="0"/>
              <w:spacing w:line="360" w:lineRule="exact"/>
              <w:ind w:right="0" w:rightChars="0"/>
              <w:jc w:val="center"/>
              <w:textAlignment w:val="auto"/>
              <w:rPr>
                <w:rFonts w:asciiTheme="majorEastAsia" w:hAnsiTheme="majorEastAsia" w:eastAsiaTheme="majorEastAsia"/>
                <w:b/>
                <w:szCs w:val="21"/>
              </w:rPr>
            </w:pPr>
          </w:p>
        </w:tc>
        <w:tc>
          <w:tcPr>
            <w:tcW w:w="1499" w:type="dxa"/>
            <w:vAlign w:val="center"/>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责任考核</w:t>
            </w:r>
          </w:p>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（20分）</w:t>
            </w:r>
          </w:p>
        </w:tc>
        <w:tc>
          <w:tcPr>
            <w:tcW w:w="2792" w:type="dxa"/>
            <w:vAlign w:val="center"/>
          </w:tcPr>
          <w:p>
            <w:pPr>
              <w:keepNext w:val="0"/>
              <w:keepLines w:val="0"/>
              <w:pageBreakBefore w:val="0"/>
              <w:numPr>
                <w:ilvl w:val="0"/>
                <w:numId w:val="5"/>
              </w:numPr>
              <w:kinsoku/>
              <w:overflowPunct/>
              <w:bidi w:val="0"/>
              <w:adjustRightInd w:val="0"/>
              <w:snapToGrid w:val="0"/>
              <w:spacing w:line="360" w:lineRule="exact"/>
              <w:ind w:right="0" w:rightChars="0"/>
              <w:textAlignment w:val="auto"/>
              <w:rPr>
                <w:rFonts w:ascii="宋体" w:hAnsi="宋体" w:eastAsia="宋体"/>
                <w:szCs w:val="21"/>
              </w:rPr>
            </w:pPr>
            <w:r>
              <w:rPr>
                <w:rFonts w:hint="eastAsia" w:ascii="宋体" w:hAnsi="宋体" w:eastAsia="宋体"/>
                <w:color w:val="000000" w:themeColor="text1"/>
                <w:szCs w:val="21"/>
                <w14:textFill>
                  <w14:solidFill>
                    <w14:schemeClr w14:val="tx1"/>
                  </w14:solidFill>
                </w14:textFill>
              </w:rPr>
              <w:t>企业应建立健全“两个体系”考核奖惩制度，或在</w:t>
            </w:r>
            <w:r>
              <w:rPr>
                <w:rFonts w:hint="eastAsia" w:asciiTheme="majorEastAsia" w:hAnsiTheme="majorEastAsia" w:eastAsiaTheme="majorEastAsia"/>
                <w:color w:val="000000" w:themeColor="text1"/>
                <w:szCs w:val="21"/>
                <w14:textFill>
                  <w14:solidFill>
                    <w14:schemeClr w14:val="tx1"/>
                  </w14:solidFill>
                </w14:textFill>
              </w:rPr>
              <w:t>安全生产奖惩管理制度中涵盖相关内容，</w:t>
            </w:r>
            <w:r>
              <w:rPr>
                <w:rFonts w:hint="eastAsia" w:ascii="宋体" w:hAnsi="宋体" w:eastAsia="宋体"/>
                <w:color w:val="000000" w:themeColor="text1"/>
                <w:szCs w:val="21"/>
                <w14:textFill>
                  <w14:solidFill>
                    <w14:schemeClr w14:val="tx1"/>
                  </w14:solidFill>
                </w14:textFill>
              </w:rPr>
              <w:t>明确考核奖惩的标准、频次、</w:t>
            </w:r>
            <w:r>
              <w:rPr>
                <w:rFonts w:hint="eastAsia" w:ascii="宋体" w:hAnsi="宋体" w:eastAsia="宋体"/>
                <w:szCs w:val="21"/>
              </w:rPr>
              <w:t>方式方法等，并将考核结果与员工工资薪酬相挂钩。</w:t>
            </w:r>
          </w:p>
          <w:p>
            <w:pPr>
              <w:keepNext w:val="0"/>
              <w:keepLines w:val="0"/>
              <w:pageBreakBefore w:val="0"/>
              <w:kinsoku/>
              <w:overflowPunct/>
              <w:bidi w:val="0"/>
              <w:spacing w:line="360" w:lineRule="exact"/>
              <w:ind w:right="0" w:rightChars="0"/>
              <w:textAlignment w:val="auto"/>
              <w:rPr>
                <w:rFonts w:asciiTheme="majorEastAsia" w:hAnsiTheme="majorEastAsia" w:eastAsiaTheme="majorEastAsia"/>
                <w:color w:val="FF0000"/>
                <w:szCs w:val="20"/>
              </w:rPr>
            </w:pPr>
            <w:r>
              <w:rPr>
                <w:rFonts w:hint="eastAsia" w:asciiTheme="majorEastAsia" w:hAnsiTheme="majorEastAsia" w:eastAsiaTheme="majorEastAsia"/>
                <w:szCs w:val="20"/>
              </w:rPr>
              <w:t>2、应</w:t>
            </w:r>
            <w:r>
              <w:rPr>
                <w:rFonts w:hint="eastAsia" w:asciiTheme="majorEastAsia" w:hAnsiTheme="majorEastAsia" w:eastAsiaTheme="majorEastAsia"/>
                <w:szCs w:val="20"/>
                <w:lang w:eastAsia="zh-CN"/>
              </w:rPr>
              <w:t>落实</w:t>
            </w:r>
            <w:r>
              <w:rPr>
                <w:rFonts w:hint="eastAsia" w:ascii="宋体" w:hAnsi="宋体" w:eastAsia="宋体"/>
                <w:color w:val="000000" w:themeColor="text1"/>
                <w:szCs w:val="21"/>
                <w14:textFill>
                  <w14:solidFill>
                    <w14:schemeClr w14:val="tx1"/>
                  </w14:solidFill>
                </w14:textFill>
              </w:rPr>
              <w:t>“两个体系”考核奖惩制度</w:t>
            </w:r>
            <w:r>
              <w:rPr>
                <w:rFonts w:hint="eastAsia" w:ascii="宋体" w:hAnsi="宋体" w:eastAsia="宋体"/>
                <w:color w:val="000000" w:themeColor="text1"/>
                <w:szCs w:val="21"/>
                <w:lang w:eastAsia="zh-CN"/>
                <w14:textFill>
                  <w14:solidFill>
                    <w14:schemeClr w14:val="tx1"/>
                  </w14:solidFill>
                </w14:textFill>
              </w:rPr>
              <w:t>，根据</w:t>
            </w:r>
            <w:r>
              <w:rPr>
                <w:rFonts w:hint="eastAsia" w:ascii="宋体" w:hAnsi="宋体" w:eastAsia="宋体"/>
                <w:color w:val="000000" w:themeColor="text1"/>
                <w:szCs w:val="21"/>
                <w14:textFill>
                  <w14:solidFill>
                    <w14:schemeClr w14:val="tx1"/>
                  </w14:solidFill>
                </w14:textFill>
              </w:rPr>
              <w:t>“两个体系”</w:t>
            </w:r>
            <w:r>
              <w:rPr>
                <w:rFonts w:hint="eastAsia" w:asciiTheme="majorEastAsia" w:hAnsiTheme="majorEastAsia" w:eastAsiaTheme="majorEastAsia"/>
                <w:szCs w:val="20"/>
              </w:rPr>
              <w:t>考核</w:t>
            </w:r>
            <w:r>
              <w:rPr>
                <w:rFonts w:hint="eastAsia" w:asciiTheme="majorEastAsia" w:hAnsiTheme="majorEastAsia" w:eastAsiaTheme="majorEastAsia"/>
                <w:szCs w:val="20"/>
                <w:lang w:eastAsia="zh-CN"/>
              </w:rPr>
              <w:t>结果</w:t>
            </w:r>
            <w:r>
              <w:rPr>
                <w:rFonts w:hint="eastAsia" w:asciiTheme="majorEastAsia" w:hAnsiTheme="majorEastAsia" w:eastAsiaTheme="majorEastAsia"/>
                <w:szCs w:val="20"/>
              </w:rPr>
              <w:t>予以奖惩。</w:t>
            </w:r>
          </w:p>
        </w:tc>
        <w:tc>
          <w:tcPr>
            <w:tcW w:w="3877" w:type="dxa"/>
          </w:tcPr>
          <w:p>
            <w:pPr>
              <w:keepNext w:val="0"/>
              <w:keepLines w:val="0"/>
              <w:pageBreakBefore w:val="0"/>
              <w:kinsoku/>
              <w:overflowPunct/>
              <w:bidi w:val="0"/>
              <w:adjustRightInd w:val="0"/>
              <w:snapToGrid w:val="0"/>
              <w:spacing w:line="360" w:lineRule="exact"/>
              <w:ind w:right="0" w:rightChars="0"/>
              <w:textAlignment w:val="auto"/>
              <w:rPr>
                <w:rFonts w:ascii="宋体" w:hAnsi="宋体" w:eastAsia="宋体"/>
                <w:szCs w:val="21"/>
              </w:rPr>
            </w:pPr>
            <w:r>
              <w:rPr>
                <w:rFonts w:hint="eastAsia" w:ascii="宋体" w:hAnsi="宋体" w:eastAsia="宋体"/>
                <w:szCs w:val="21"/>
              </w:rPr>
              <w:t>1、未将考核结果与员工工资薪酬相挂钩的，扣</w:t>
            </w:r>
            <w:r>
              <w:rPr>
                <w:rFonts w:hint="eastAsia" w:ascii="宋体" w:hAnsi="宋体" w:eastAsia="宋体"/>
                <w:szCs w:val="21"/>
                <w:lang w:val="en-US" w:eastAsia="zh-CN"/>
              </w:rPr>
              <w:t>5</w:t>
            </w:r>
            <w:r>
              <w:rPr>
                <w:rFonts w:hint="eastAsia" w:ascii="宋体" w:hAnsi="宋体" w:eastAsia="宋体"/>
                <w:szCs w:val="21"/>
              </w:rPr>
              <w:t>分。</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2、</w:t>
            </w:r>
            <w:r>
              <w:rPr>
                <w:rFonts w:hint="eastAsia" w:asciiTheme="majorEastAsia" w:hAnsiTheme="majorEastAsia" w:eastAsiaTheme="majorEastAsia"/>
                <w:szCs w:val="21"/>
                <w:lang w:eastAsia="zh-CN"/>
              </w:rPr>
              <w:t>未</w:t>
            </w:r>
            <w:r>
              <w:rPr>
                <w:rFonts w:hint="eastAsia" w:ascii="宋体" w:hAnsi="宋体" w:eastAsia="宋体"/>
                <w:color w:val="000000" w:themeColor="text1"/>
                <w:szCs w:val="21"/>
                <w:lang w:eastAsia="zh-CN"/>
                <w14:textFill>
                  <w14:solidFill>
                    <w14:schemeClr w14:val="tx1"/>
                  </w14:solidFill>
                </w14:textFill>
              </w:rPr>
              <w:t>根据</w:t>
            </w:r>
            <w:r>
              <w:rPr>
                <w:rFonts w:hint="eastAsia" w:ascii="宋体" w:hAnsi="宋体" w:eastAsia="宋体"/>
                <w:color w:val="000000" w:themeColor="text1"/>
                <w:szCs w:val="21"/>
                <w14:textFill>
                  <w14:solidFill>
                    <w14:schemeClr w14:val="tx1"/>
                  </w14:solidFill>
                </w14:textFill>
              </w:rPr>
              <w:t>“两个体系”</w:t>
            </w:r>
            <w:r>
              <w:rPr>
                <w:rFonts w:hint="eastAsia" w:asciiTheme="majorEastAsia" w:hAnsiTheme="majorEastAsia" w:eastAsiaTheme="majorEastAsia"/>
                <w:szCs w:val="20"/>
              </w:rPr>
              <w:t>考核</w:t>
            </w:r>
            <w:r>
              <w:rPr>
                <w:rFonts w:hint="eastAsia" w:asciiTheme="majorEastAsia" w:hAnsiTheme="majorEastAsia" w:eastAsiaTheme="majorEastAsia"/>
                <w:szCs w:val="20"/>
                <w:lang w:eastAsia="zh-CN"/>
              </w:rPr>
              <w:t>结果落实</w:t>
            </w:r>
            <w:r>
              <w:rPr>
                <w:rFonts w:hint="eastAsia" w:asciiTheme="majorEastAsia" w:hAnsiTheme="majorEastAsia" w:eastAsiaTheme="majorEastAsia"/>
                <w:szCs w:val="20"/>
              </w:rPr>
              <w:t>奖惩</w:t>
            </w:r>
            <w:r>
              <w:rPr>
                <w:rFonts w:hint="eastAsia" w:asciiTheme="majorEastAsia" w:hAnsiTheme="majorEastAsia" w:eastAsiaTheme="majorEastAsia"/>
                <w:szCs w:val="20"/>
                <w:lang w:eastAsia="zh-CN"/>
              </w:rPr>
              <w:t>的</w:t>
            </w:r>
            <w:r>
              <w:rPr>
                <w:rFonts w:hint="eastAsia" w:asciiTheme="majorEastAsia" w:hAnsiTheme="majorEastAsia" w:eastAsiaTheme="majorEastAsia"/>
                <w:szCs w:val="21"/>
              </w:rPr>
              <w:t>，一项</w:t>
            </w:r>
            <w:r>
              <w:rPr>
                <w:rFonts w:hint="eastAsia" w:asciiTheme="majorEastAsia" w:hAnsiTheme="majorEastAsia" w:eastAsiaTheme="majorEastAsia"/>
                <w:szCs w:val="21"/>
                <w:lang w:eastAsia="zh-CN"/>
              </w:rPr>
              <w:t>不符合</w:t>
            </w:r>
            <w:r>
              <w:rPr>
                <w:rFonts w:hint="eastAsia" w:asciiTheme="majorEastAsia" w:hAnsiTheme="majorEastAsia" w:eastAsiaTheme="majorEastAsia"/>
                <w:szCs w:val="21"/>
              </w:rPr>
              <w:t>扣2分。</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b/>
                <w:szCs w:val="21"/>
              </w:rPr>
            </w:pPr>
            <w:r>
              <w:rPr>
                <w:b/>
                <w:szCs w:val="20"/>
              </w:rPr>
              <w:t>否决项</w:t>
            </w:r>
            <w:r>
              <w:rPr>
                <w:rFonts w:hint="eastAsia" w:asciiTheme="majorEastAsia" w:hAnsiTheme="majorEastAsia" w:eastAsiaTheme="majorEastAsia"/>
                <w:b/>
                <w:szCs w:val="21"/>
              </w:rPr>
              <w:t>：</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未</w:t>
            </w:r>
            <w:r>
              <w:rPr>
                <w:rFonts w:hint="eastAsia" w:ascii="宋体" w:hAnsi="宋体" w:eastAsia="宋体"/>
                <w:szCs w:val="21"/>
              </w:rPr>
              <w:t>建立健全</w:t>
            </w:r>
            <w:r>
              <w:rPr>
                <w:rFonts w:hint="eastAsia" w:ascii="宋体" w:hAnsi="宋体" w:eastAsia="宋体"/>
                <w:color w:val="000000" w:themeColor="text1"/>
                <w:szCs w:val="21"/>
                <w14:textFill>
                  <w14:solidFill>
                    <w14:schemeClr w14:val="tx1"/>
                  </w14:solidFill>
                </w14:textFill>
              </w:rPr>
              <w:t>“两个体系”考核</w:t>
            </w:r>
            <w:r>
              <w:rPr>
                <w:rFonts w:hint="eastAsia" w:ascii="宋体" w:hAnsi="宋体" w:eastAsia="宋体"/>
                <w:szCs w:val="21"/>
              </w:rPr>
              <w:t>奖惩制度，</w:t>
            </w:r>
            <w:r>
              <w:rPr>
                <w:rFonts w:hint="eastAsia" w:ascii="宋体" w:hAnsi="宋体" w:eastAsia="宋体"/>
                <w:szCs w:val="21"/>
                <w:lang w:eastAsia="zh-CN"/>
              </w:rPr>
              <w:t>或未有效落实的</w:t>
            </w:r>
            <w:r>
              <w:rPr>
                <w:rFonts w:hint="eastAsia" w:ascii="宋体" w:hAnsi="宋体" w:eastAsia="宋体"/>
                <w:szCs w:val="21"/>
              </w:rPr>
              <w:t>，</w:t>
            </w:r>
            <w:r>
              <w:rPr>
                <w:rFonts w:hint="eastAsia" w:asciiTheme="majorEastAsia" w:hAnsiTheme="majorEastAsia" w:eastAsiaTheme="majorEastAsia"/>
                <w:szCs w:val="21"/>
              </w:rPr>
              <w:t>评定验收不通过。</w:t>
            </w:r>
          </w:p>
        </w:tc>
        <w:tc>
          <w:tcPr>
            <w:tcW w:w="2850" w:type="dxa"/>
          </w:tcPr>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b/>
                <w:szCs w:val="21"/>
              </w:rPr>
            </w:pPr>
            <w:r>
              <w:rPr>
                <w:rFonts w:asciiTheme="majorEastAsia" w:hAnsiTheme="majorEastAsia" w:eastAsiaTheme="majorEastAsia"/>
                <w:b/>
                <w:szCs w:val="21"/>
              </w:rPr>
              <w:t>查</w:t>
            </w:r>
            <w:r>
              <w:rPr>
                <w:rFonts w:hint="eastAsia" w:asciiTheme="majorEastAsia" w:hAnsiTheme="majorEastAsia" w:eastAsiaTheme="majorEastAsia"/>
                <w:b/>
                <w:szCs w:val="21"/>
              </w:rPr>
              <w:t>资料：</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1、</w:t>
            </w:r>
            <w:r>
              <w:rPr>
                <w:rFonts w:hint="eastAsia" w:ascii="宋体" w:hAnsi="宋体" w:eastAsia="宋体"/>
                <w:color w:val="000000" w:themeColor="text1"/>
                <w:szCs w:val="21"/>
                <w14:textFill>
                  <w14:solidFill>
                    <w14:schemeClr w14:val="tx1"/>
                  </w14:solidFill>
                </w14:textFill>
              </w:rPr>
              <w:t>“两个体系”</w:t>
            </w:r>
            <w:r>
              <w:rPr>
                <w:rFonts w:hint="eastAsia" w:asciiTheme="majorEastAsia" w:hAnsiTheme="majorEastAsia" w:eastAsiaTheme="majorEastAsia"/>
                <w:szCs w:val="21"/>
              </w:rPr>
              <w:t>考核奖惩制度</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2、</w:t>
            </w:r>
            <w:r>
              <w:rPr>
                <w:rFonts w:hint="eastAsia" w:ascii="宋体" w:hAnsi="宋体" w:eastAsia="宋体"/>
                <w:color w:val="000000" w:themeColor="text1"/>
                <w:szCs w:val="21"/>
                <w14:textFill>
                  <w14:solidFill>
                    <w14:schemeClr w14:val="tx1"/>
                  </w14:solidFill>
                </w14:textFill>
              </w:rPr>
              <w:t>“两个体系”</w:t>
            </w:r>
            <w:r>
              <w:rPr>
                <w:rFonts w:hint="eastAsia" w:asciiTheme="majorEastAsia" w:hAnsiTheme="majorEastAsia" w:eastAsiaTheme="majorEastAsia"/>
                <w:szCs w:val="21"/>
              </w:rPr>
              <w:t>考核奖惩记录，相关财务文件。</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p>
        </w:tc>
        <w:tc>
          <w:tcPr>
            <w:tcW w:w="1615" w:type="dxa"/>
            <w:vAlign w:val="center"/>
          </w:tcPr>
          <w:p>
            <w:pPr>
              <w:keepNext w:val="0"/>
              <w:keepLines w:val="0"/>
              <w:pageBreakBefore w:val="0"/>
              <w:kinsoku/>
              <w:overflowPunct/>
              <w:bidi w:val="0"/>
              <w:spacing w:line="360" w:lineRule="exact"/>
              <w:ind w:right="0" w:rightChars="0"/>
              <w:jc w:val="center"/>
              <w:textAlignment w:val="auto"/>
              <w:rPr>
                <w:rFonts w:asciiTheme="majorEastAsia" w:hAnsiTheme="majorEastAsia" w:eastAsiaTheme="majorEastAsia"/>
                <w:szCs w:val="21"/>
              </w:rPr>
            </w:pPr>
          </w:p>
        </w:tc>
        <w:tc>
          <w:tcPr>
            <w:tcW w:w="865" w:type="dxa"/>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76" w:type="dxa"/>
            <w:vMerge w:val="restart"/>
            <w:vAlign w:val="center"/>
          </w:tcPr>
          <w:p>
            <w:pPr>
              <w:keepNext w:val="0"/>
              <w:keepLines w:val="0"/>
              <w:pageBreakBefore w:val="0"/>
              <w:widowControl/>
              <w:kinsoku/>
              <w:overflowPunct/>
              <w:bidi w:val="0"/>
              <w:adjustRightInd w:val="0"/>
              <w:snapToGrid w:val="0"/>
              <w:spacing w:line="360" w:lineRule="exact"/>
              <w:ind w:right="0" w:rightChars="0"/>
              <w:jc w:val="center"/>
              <w:textAlignment w:val="auto"/>
              <w:rPr>
                <w:rFonts w:asciiTheme="majorEastAsia" w:hAnsiTheme="majorEastAsia" w:eastAsiaTheme="majorEastAsia"/>
                <w:b/>
                <w:szCs w:val="21"/>
              </w:rPr>
            </w:pPr>
            <w:r>
              <w:rPr>
                <w:rFonts w:hint="eastAsia" w:asciiTheme="majorEastAsia" w:hAnsiTheme="majorEastAsia" w:eastAsiaTheme="majorEastAsia"/>
                <w:b/>
                <w:szCs w:val="21"/>
              </w:rPr>
              <w:t>风险</w:t>
            </w:r>
          </w:p>
          <w:p>
            <w:pPr>
              <w:keepNext w:val="0"/>
              <w:keepLines w:val="0"/>
              <w:pageBreakBefore w:val="0"/>
              <w:widowControl/>
              <w:kinsoku/>
              <w:overflowPunct/>
              <w:bidi w:val="0"/>
              <w:adjustRightInd w:val="0"/>
              <w:snapToGrid w:val="0"/>
              <w:spacing w:line="360" w:lineRule="exact"/>
              <w:ind w:right="0" w:rightChars="0"/>
              <w:jc w:val="center"/>
              <w:textAlignment w:val="auto"/>
              <w:rPr>
                <w:rFonts w:asciiTheme="majorEastAsia" w:hAnsiTheme="majorEastAsia" w:eastAsiaTheme="majorEastAsia"/>
                <w:b/>
                <w:szCs w:val="21"/>
              </w:rPr>
            </w:pPr>
            <w:r>
              <w:rPr>
                <w:rFonts w:asciiTheme="majorEastAsia" w:hAnsiTheme="majorEastAsia" w:eastAsiaTheme="majorEastAsia"/>
                <w:b/>
                <w:szCs w:val="21"/>
              </w:rPr>
              <w:t>分级管控体系</w:t>
            </w:r>
            <w:r>
              <w:rPr>
                <w:rFonts w:hint="eastAsia" w:asciiTheme="majorEastAsia" w:hAnsiTheme="majorEastAsia" w:eastAsiaTheme="majorEastAsia"/>
                <w:b/>
                <w:szCs w:val="21"/>
              </w:rPr>
              <w:t>建设（550分）</w:t>
            </w:r>
          </w:p>
        </w:tc>
        <w:tc>
          <w:tcPr>
            <w:tcW w:w="1499" w:type="dxa"/>
            <w:vAlign w:val="center"/>
          </w:tcPr>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风险点排查、确定（30分）</w:t>
            </w:r>
          </w:p>
        </w:tc>
        <w:tc>
          <w:tcPr>
            <w:tcW w:w="2792" w:type="dxa"/>
            <w:vAlign w:val="center"/>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1、作业活动</w:t>
            </w:r>
            <w:r>
              <w:rPr>
                <w:rFonts w:asciiTheme="majorEastAsia" w:hAnsiTheme="majorEastAsia" w:eastAsiaTheme="majorEastAsia"/>
                <w:szCs w:val="21"/>
              </w:rPr>
              <w:t>清单</w:t>
            </w:r>
            <w:r>
              <w:rPr>
                <w:rFonts w:hint="eastAsia" w:asciiTheme="majorEastAsia" w:hAnsiTheme="majorEastAsia" w:eastAsiaTheme="majorEastAsia"/>
                <w:szCs w:val="21"/>
              </w:rPr>
              <w:t>应覆盖</w:t>
            </w:r>
            <w:r>
              <w:rPr>
                <w:rFonts w:hint="eastAsia" w:asciiTheme="majorEastAsia" w:hAnsiTheme="majorEastAsia" w:eastAsiaTheme="majorEastAsia"/>
                <w:szCs w:val="21"/>
                <w:lang w:eastAsia="zh-CN"/>
              </w:rPr>
              <w:t>企业</w:t>
            </w:r>
            <w:r>
              <w:rPr>
                <w:rFonts w:asciiTheme="majorEastAsia" w:hAnsiTheme="majorEastAsia" w:eastAsiaTheme="majorEastAsia"/>
                <w:szCs w:val="21"/>
              </w:rPr>
              <w:t>生产</w:t>
            </w:r>
            <w:r>
              <w:rPr>
                <w:rFonts w:hint="eastAsia" w:asciiTheme="majorEastAsia" w:hAnsiTheme="majorEastAsia" w:eastAsiaTheme="majorEastAsia"/>
                <w:szCs w:val="21"/>
              </w:rPr>
              <w:t>经营</w:t>
            </w:r>
            <w:r>
              <w:rPr>
                <w:rFonts w:hint="eastAsia" w:asciiTheme="majorEastAsia" w:hAnsiTheme="majorEastAsia" w:eastAsiaTheme="majorEastAsia"/>
                <w:szCs w:val="21"/>
                <w:lang w:eastAsia="zh-CN"/>
              </w:rPr>
              <w:t>过程中各类</w:t>
            </w:r>
            <w:r>
              <w:rPr>
                <w:rFonts w:hint="eastAsia" w:asciiTheme="majorEastAsia" w:hAnsiTheme="majorEastAsia" w:eastAsiaTheme="majorEastAsia"/>
                <w:szCs w:val="21"/>
              </w:rPr>
              <w:t>作业活动。</w:t>
            </w:r>
          </w:p>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2、</w:t>
            </w:r>
            <w:r>
              <w:rPr>
                <w:rFonts w:asciiTheme="majorEastAsia" w:hAnsiTheme="majorEastAsia" w:eastAsiaTheme="majorEastAsia"/>
                <w:szCs w:val="21"/>
              </w:rPr>
              <w:t>设备设施</w:t>
            </w:r>
            <w:r>
              <w:rPr>
                <w:rFonts w:hint="eastAsia" w:asciiTheme="majorEastAsia" w:hAnsiTheme="majorEastAsia" w:eastAsiaTheme="majorEastAsia"/>
                <w:szCs w:val="21"/>
              </w:rPr>
              <w:t>类</w:t>
            </w:r>
            <w:r>
              <w:rPr>
                <w:rFonts w:asciiTheme="majorEastAsia" w:hAnsiTheme="majorEastAsia" w:eastAsiaTheme="majorEastAsia"/>
                <w:szCs w:val="21"/>
              </w:rPr>
              <w:t>清单</w:t>
            </w:r>
            <w:r>
              <w:rPr>
                <w:rFonts w:hint="eastAsia" w:asciiTheme="majorEastAsia" w:hAnsiTheme="majorEastAsia" w:eastAsiaTheme="majorEastAsia"/>
                <w:szCs w:val="21"/>
              </w:rPr>
              <w:t>应覆盖</w:t>
            </w:r>
            <w:r>
              <w:rPr>
                <w:rFonts w:hint="eastAsia" w:asciiTheme="majorEastAsia" w:hAnsiTheme="majorEastAsia" w:eastAsiaTheme="majorEastAsia"/>
                <w:szCs w:val="21"/>
                <w:lang w:eastAsia="zh-CN"/>
              </w:rPr>
              <w:t>企业</w:t>
            </w:r>
            <w:r>
              <w:rPr>
                <w:rFonts w:asciiTheme="majorEastAsia" w:hAnsiTheme="majorEastAsia" w:eastAsiaTheme="majorEastAsia"/>
                <w:szCs w:val="21"/>
              </w:rPr>
              <w:t>生产</w:t>
            </w:r>
            <w:r>
              <w:rPr>
                <w:rFonts w:hint="eastAsia" w:asciiTheme="majorEastAsia" w:hAnsiTheme="majorEastAsia" w:eastAsiaTheme="majorEastAsia"/>
                <w:szCs w:val="21"/>
              </w:rPr>
              <w:t>经营</w:t>
            </w:r>
            <w:r>
              <w:rPr>
                <w:rFonts w:hint="eastAsia" w:asciiTheme="majorEastAsia" w:hAnsiTheme="majorEastAsia" w:eastAsiaTheme="majorEastAsia"/>
                <w:szCs w:val="21"/>
                <w:lang w:eastAsia="zh-CN"/>
              </w:rPr>
              <w:t>过程中</w:t>
            </w:r>
            <w:r>
              <w:rPr>
                <w:rFonts w:hint="eastAsia" w:asciiTheme="majorEastAsia" w:hAnsiTheme="majorEastAsia" w:eastAsiaTheme="majorEastAsia"/>
                <w:szCs w:val="21"/>
              </w:rPr>
              <w:t>涉及的设备、设施。</w:t>
            </w:r>
          </w:p>
          <w:p>
            <w:pPr>
              <w:pStyle w:val="49"/>
              <w:keepNext w:val="0"/>
              <w:keepLines w:val="0"/>
              <w:pageBreakBefore w:val="0"/>
              <w:kinsoku/>
              <w:overflowPunct/>
              <w:bidi w:val="0"/>
              <w:spacing w:line="360" w:lineRule="exact"/>
              <w:ind w:right="0" w:rightChars="0" w:firstLine="0" w:firstLineChars="0"/>
              <w:textAlignment w:val="auto"/>
              <w:rPr>
                <w:rFonts w:cstheme="minorBidi"/>
              </w:rPr>
            </w:pPr>
            <w:r>
              <w:rPr>
                <w:rFonts w:hint="eastAsia" w:asciiTheme="majorEastAsia" w:hAnsiTheme="majorEastAsia" w:eastAsiaTheme="majorEastAsia" w:cstheme="minorBidi"/>
                <w:szCs w:val="21"/>
              </w:rPr>
              <w:t>3、</w:t>
            </w:r>
            <w:r>
              <w:rPr>
                <w:rFonts w:hint="eastAsia" w:cstheme="minorBidi"/>
              </w:rPr>
              <w:t>职业病危害风险点应覆盖岗位工人接触职业病危害的所有工作地点或设施。</w:t>
            </w:r>
          </w:p>
        </w:tc>
        <w:tc>
          <w:tcPr>
            <w:tcW w:w="3877" w:type="dxa"/>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1、未建立作业活动清单</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rPr>
              <w:t>扣10分。清单未涵盖主要作业活动的，缺一项扣2分。</w:t>
            </w:r>
          </w:p>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2、未建立设备设施清单</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rPr>
              <w:t>扣10分。清单未涵盖主要设备、设施</w:t>
            </w:r>
            <w:r>
              <w:rPr>
                <w:rFonts w:hint="eastAsia" w:asciiTheme="majorEastAsia" w:hAnsiTheme="majorEastAsia" w:eastAsiaTheme="majorEastAsia"/>
                <w:szCs w:val="21"/>
                <w:lang w:eastAsia="zh-CN"/>
              </w:rPr>
              <w:t>的，</w:t>
            </w:r>
            <w:r>
              <w:rPr>
                <w:rFonts w:hint="eastAsia" w:asciiTheme="majorEastAsia" w:hAnsiTheme="majorEastAsia" w:eastAsiaTheme="majorEastAsia"/>
                <w:szCs w:val="21"/>
              </w:rPr>
              <w:t>缺一项扣2分。</w:t>
            </w:r>
          </w:p>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3、未建立职业病危害风险清单扣10分。清单未涉及产生粉尘、</w:t>
            </w:r>
            <w:r>
              <w:rPr>
                <w:rFonts w:hint="eastAsia"/>
                <w:szCs w:val="20"/>
              </w:rPr>
              <w:t>化学物</w:t>
            </w:r>
            <w:r>
              <w:rPr>
                <w:rFonts w:hint="eastAsia" w:asciiTheme="majorEastAsia" w:hAnsiTheme="majorEastAsia" w:eastAsiaTheme="majorEastAsia"/>
                <w:szCs w:val="21"/>
              </w:rPr>
              <w:t>浓度高、噪声超标的等职业病危害严重的地点/场所/岗位，缺一项扣2分。</w:t>
            </w:r>
          </w:p>
        </w:tc>
        <w:tc>
          <w:tcPr>
            <w:tcW w:w="2850" w:type="dxa"/>
          </w:tcPr>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asciiTheme="majorEastAsia" w:hAnsiTheme="majorEastAsia" w:eastAsiaTheme="majorEastAsia"/>
                <w:b/>
                <w:szCs w:val="21"/>
              </w:rPr>
              <w:t>查</w:t>
            </w:r>
            <w:r>
              <w:rPr>
                <w:rFonts w:hint="eastAsia" w:asciiTheme="majorEastAsia" w:hAnsiTheme="majorEastAsia" w:eastAsiaTheme="majorEastAsia"/>
                <w:b/>
                <w:szCs w:val="21"/>
              </w:rPr>
              <w:t>资料、查信息系统：</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1、作业活动清单。</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2、设备设施清单。</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3、</w:t>
            </w:r>
            <w:r>
              <w:rPr>
                <w:rFonts w:asciiTheme="majorEastAsia" w:hAnsiTheme="majorEastAsia" w:eastAsiaTheme="majorEastAsia"/>
                <w:szCs w:val="21"/>
              </w:rPr>
              <w:t>职业病危害</w:t>
            </w:r>
            <w:r>
              <w:rPr>
                <w:rFonts w:hint="eastAsia" w:asciiTheme="majorEastAsia" w:hAnsiTheme="majorEastAsia" w:eastAsiaTheme="majorEastAsia"/>
                <w:szCs w:val="21"/>
              </w:rPr>
              <w:t>风险</w:t>
            </w:r>
            <w:r>
              <w:rPr>
                <w:rFonts w:asciiTheme="majorEastAsia" w:hAnsiTheme="majorEastAsia" w:eastAsiaTheme="majorEastAsia"/>
                <w:szCs w:val="21"/>
              </w:rPr>
              <w:t>清单</w:t>
            </w:r>
            <w:r>
              <w:rPr>
                <w:rFonts w:hint="eastAsia" w:asciiTheme="majorEastAsia" w:hAnsiTheme="majorEastAsia" w:eastAsiaTheme="majorEastAsia"/>
                <w:szCs w:val="21"/>
              </w:rPr>
              <w:t>。</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b/>
                <w:szCs w:val="21"/>
              </w:rPr>
            </w:pPr>
            <w:r>
              <w:rPr>
                <w:rFonts w:hint="eastAsia" w:asciiTheme="majorEastAsia" w:hAnsiTheme="majorEastAsia" w:eastAsiaTheme="majorEastAsia"/>
                <w:b/>
                <w:szCs w:val="21"/>
              </w:rPr>
              <w:t>查现场：</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通过分析工艺流程、生产现场判断是否遗漏主要作业活动、设备设施、职业病危害严重的地点/场所/岗位。</w:t>
            </w:r>
          </w:p>
        </w:tc>
        <w:tc>
          <w:tcPr>
            <w:tcW w:w="1615" w:type="dxa"/>
            <w:vAlign w:val="center"/>
          </w:tcPr>
          <w:p>
            <w:pPr>
              <w:keepNext w:val="0"/>
              <w:keepLines w:val="0"/>
              <w:pageBreakBefore w:val="0"/>
              <w:widowControl/>
              <w:kinsoku/>
              <w:overflowPunct/>
              <w:bidi w:val="0"/>
              <w:adjustRightInd w:val="0"/>
              <w:snapToGrid w:val="0"/>
              <w:spacing w:line="360" w:lineRule="exact"/>
              <w:ind w:right="0" w:rightChars="0"/>
              <w:jc w:val="center"/>
              <w:textAlignment w:val="auto"/>
              <w:rPr>
                <w:rFonts w:asciiTheme="majorEastAsia" w:hAnsiTheme="majorEastAsia" w:eastAsiaTheme="majorEastAsia"/>
                <w:szCs w:val="21"/>
              </w:rPr>
            </w:pPr>
          </w:p>
        </w:tc>
        <w:tc>
          <w:tcPr>
            <w:tcW w:w="865" w:type="dxa"/>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Merge w:val="continue"/>
            <w:vAlign w:val="center"/>
          </w:tcPr>
          <w:p>
            <w:pPr>
              <w:keepNext w:val="0"/>
              <w:keepLines w:val="0"/>
              <w:pageBreakBefore w:val="0"/>
              <w:kinsoku/>
              <w:overflowPunct/>
              <w:bidi w:val="0"/>
              <w:adjustRightInd w:val="0"/>
              <w:snapToGrid w:val="0"/>
              <w:spacing w:line="360" w:lineRule="exact"/>
              <w:ind w:right="0" w:rightChars="0"/>
              <w:jc w:val="center"/>
              <w:textAlignment w:val="auto"/>
              <w:rPr>
                <w:rFonts w:asciiTheme="majorEastAsia" w:hAnsiTheme="majorEastAsia" w:eastAsiaTheme="majorEastAsia"/>
                <w:szCs w:val="21"/>
              </w:rPr>
            </w:pPr>
          </w:p>
        </w:tc>
        <w:tc>
          <w:tcPr>
            <w:tcW w:w="1499" w:type="dxa"/>
            <w:vAlign w:val="center"/>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危险源辨识、分析（150</w:t>
            </w:r>
            <w:r>
              <w:rPr>
                <w:rFonts w:hint="eastAsia" w:asciiTheme="majorEastAsia" w:hAnsiTheme="majorEastAsia" w:eastAsiaTheme="majorEastAsia"/>
                <w:szCs w:val="21"/>
                <w:lang w:eastAsia="zh-CN"/>
              </w:rPr>
              <w:t>分</w:t>
            </w:r>
            <w:r>
              <w:rPr>
                <w:rFonts w:hint="eastAsia" w:asciiTheme="majorEastAsia" w:hAnsiTheme="majorEastAsia" w:eastAsiaTheme="majorEastAsia"/>
                <w:szCs w:val="21"/>
              </w:rPr>
              <w:t>）</w:t>
            </w:r>
          </w:p>
        </w:tc>
        <w:tc>
          <w:tcPr>
            <w:tcW w:w="2792" w:type="dxa"/>
            <w:vAlign w:val="center"/>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1、企业应组织相关部门、班组、岗位人员进行危险源辨识、分析。</w:t>
            </w:r>
          </w:p>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2、针对</w:t>
            </w:r>
            <w:r>
              <w:rPr>
                <w:rFonts w:asciiTheme="majorEastAsia" w:hAnsiTheme="majorEastAsia" w:eastAsiaTheme="majorEastAsia"/>
                <w:szCs w:val="21"/>
              </w:rPr>
              <w:t>作业活动清单</w:t>
            </w:r>
            <w:r>
              <w:rPr>
                <w:rFonts w:hint="eastAsia" w:asciiTheme="majorEastAsia" w:hAnsiTheme="majorEastAsia" w:eastAsiaTheme="majorEastAsia"/>
                <w:szCs w:val="21"/>
              </w:rPr>
              <w:t>，采用合理的辨识方法对每个作业活动及作业步骤进行危险源辨识、分析。</w:t>
            </w:r>
          </w:p>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3、针对</w:t>
            </w:r>
            <w:r>
              <w:rPr>
                <w:rFonts w:asciiTheme="majorEastAsia" w:hAnsiTheme="majorEastAsia" w:eastAsiaTheme="majorEastAsia"/>
                <w:szCs w:val="21"/>
              </w:rPr>
              <w:t>设备设施类清单</w:t>
            </w:r>
            <w:r>
              <w:rPr>
                <w:rFonts w:hint="eastAsia" w:asciiTheme="majorEastAsia" w:hAnsiTheme="majorEastAsia" w:eastAsiaTheme="majorEastAsia"/>
                <w:szCs w:val="21"/>
              </w:rPr>
              <w:t>，采用合理的辨识方法进行危险源辨识、分析。</w:t>
            </w:r>
          </w:p>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4、通过调查和工程分析等方法识别各</w:t>
            </w:r>
            <w:r>
              <w:rPr>
                <w:rFonts w:hint="eastAsia"/>
                <w:szCs w:val="20"/>
              </w:rPr>
              <w:t>职业病危害风险点存在的粉尘、化学物、高温、噪声、电离辐射等职业病危害因素及其来源、接触方式及接触时间、可能导致的职业病和健康损害等。</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p>
        </w:tc>
        <w:tc>
          <w:tcPr>
            <w:tcW w:w="3877" w:type="dxa"/>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1、未针对作业活动清单逐个进行危险源辨识、分析的，缺一项扣5分。作业活动危险源辨识、分析不具体</w:t>
            </w:r>
            <w:r>
              <w:rPr>
                <w:rFonts w:hint="eastAsia" w:asciiTheme="majorEastAsia" w:hAnsiTheme="majorEastAsia" w:eastAsiaTheme="majorEastAsia"/>
                <w:szCs w:val="21"/>
                <w:lang w:eastAsia="zh-CN"/>
              </w:rPr>
              <w:t>、不全面</w:t>
            </w:r>
            <w:r>
              <w:rPr>
                <w:rFonts w:hint="eastAsia" w:asciiTheme="majorEastAsia" w:hAnsiTheme="majorEastAsia" w:eastAsiaTheme="majorEastAsia"/>
                <w:szCs w:val="21"/>
              </w:rPr>
              <w:t>的，一项不符合扣</w:t>
            </w:r>
            <w:r>
              <w:rPr>
                <w:rFonts w:hint="eastAsia" w:asciiTheme="majorEastAsia" w:hAnsiTheme="majorEastAsia" w:eastAsiaTheme="majorEastAsia"/>
                <w:szCs w:val="21"/>
                <w:lang w:val="en-US" w:eastAsia="zh-CN"/>
              </w:rPr>
              <w:t>2</w:t>
            </w:r>
            <w:r>
              <w:rPr>
                <w:rFonts w:hint="eastAsia" w:asciiTheme="majorEastAsia" w:hAnsiTheme="majorEastAsia" w:eastAsiaTheme="majorEastAsia"/>
                <w:szCs w:val="21"/>
              </w:rPr>
              <w:t>分。</w:t>
            </w:r>
          </w:p>
          <w:p>
            <w:pPr>
              <w:keepNext w:val="0"/>
              <w:keepLines w:val="0"/>
              <w:pageBreakBefore w:val="0"/>
              <w:widowControl/>
              <w:kinsoku/>
              <w:overflowPunct/>
              <w:bidi w:val="0"/>
              <w:adjustRightInd w:val="0"/>
              <w:snapToGrid w:val="0"/>
              <w:spacing w:line="360" w:lineRule="exact"/>
              <w:ind w:right="0" w:rightChars="0"/>
              <w:textAlignment w:val="auto"/>
              <w:rPr>
                <w:rFonts w:hint="eastAsia" w:asciiTheme="majorEastAsia" w:hAnsiTheme="majorEastAsia" w:eastAsiaTheme="majorEastAsia"/>
                <w:szCs w:val="21"/>
              </w:rPr>
            </w:pPr>
            <w:r>
              <w:rPr>
                <w:rFonts w:hint="eastAsia" w:asciiTheme="majorEastAsia" w:hAnsiTheme="majorEastAsia" w:eastAsiaTheme="majorEastAsia"/>
                <w:szCs w:val="21"/>
              </w:rPr>
              <w:t>2、未针对设备设施清单逐个进行危险源辨识、分析，缺一项扣5分。</w:t>
            </w:r>
            <w:r>
              <w:rPr>
                <w:rFonts w:hint="eastAsia" w:asciiTheme="majorEastAsia" w:hAnsiTheme="majorEastAsia" w:eastAsiaTheme="majorEastAsia"/>
                <w:szCs w:val="21"/>
                <w:lang w:eastAsia="zh-CN"/>
              </w:rPr>
              <w:t>设备设施</w:t>
            </w:r>
            <w:r>
              <w:rPr>
                <w:rFonts w:hint="eastAsia" w:asciiTheme="majorEastAsia" w:hAnsiTheme="majorEastAsia" w:eastAsiaTheme="majorEastAsia"/>
                <w:szCs w:val="21"/>
              </w:rPr>
              <w:t>危险源辨识、分析不具体</w:t>
            </w:r>
            <w:r>
              <w:rPr>
                <w:rFonts w:hint="eastAsia" w:asciiTheme="majorEastAsia" w:hAnsiTheme="majorEastAsia" w:eastAsiaTheme="majorEastAsia"/>
                <w:szCs w:val="21"/>
                <w:lang w:eastAsia="zh-CN"/>
              </w:rPr>
              <w:t>、不全面</w:t>
            </w:r>
            <w:r>
              <w:rPr>
                <w:rFonts w:hint="eastAsia" w:asciiTheme="majorEastAsia" w:hAnsiTheme="majorEastAsia" w:eastAsiaTheme="majorEastAsia"/>
                <w:szCs w:val="21"/>
              </w:rPr>
              <w:t>的</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rPr>
              <w:t>一项不符合扣</w:t>
            </w:r>
            <w:r>
              <w:rPr>
                <w:rFonts w:hint="eastAsia" w:asciiTheme="majorEastAsia" w:hAnsiTheme="majorEastAsia" w:eastAsiaTheme="majorEastAsia"/>
                <w:szCs w:val="21"/>
                <w:lang w:val="en-US" w:eastAsia="zh-CN"/>
              </w:rPr>
              <w:t>2</w:t>
            </w:r>
            <w:r>
              <w:rPr>
                <w:rFonts w:hint="eastAsia" w:asciiTheme="majorEastAsia" w:hAnsiTheme="majorEastAsia" w:eastAsiaTheme="majorEastAsia"/>
                <w:szCs w:val="21"/>
              </w:rPr>
              <w:t>分。</w:t>
            </w:r>
          </w:p>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3、职业病危害风险点可能存在的粉尘、化学物、高温、噪声、电离辐射等职业病危害因素</w:t>
            </w:r>
            <w:r>
              <w:rPr>
                <w:rFonts w:hint="eastAsia"/>
                <w:szCs w:val="20"/>
              </w:rPr>
              <w:t>未进行</w:t>
            </w:r>
            <w:r>
              <w:rPr>
                <w:rFonts w:hint="eastAsia"/>
                <w:szCs w:val="20"/>
                <w:lang w:eastAsia="zh-CN"/>
              </w:rPr>
              <w:t>识别</w:t>
            </w:r>
            <w:r>
              <w:rPr>
                <w:rFonts w:hint="eastAsia"/>
                <w:szCs w:val="20"/>
              </w:rPr>
              <w:t>的</w:t>
            </w:r>
            <w:r>
              <w:rPr>
                <w:rFonts w:hint="eastAsia" w:asciiTheme="majorEastAsia" w:hAnsiTheme="majorEastAsia" w:eastAsiaTheme="majorEastAsia"/>
                <w:szCs w:val="21"/>
              </w:rPr>
              <w:t>，</w:t>
            </w:r>
            <w:r>
              <w:rPr>
                <w:rFonts w:hint="eastAsia" w:asciiTheme="majorEastAsia" w:hAnsiTheme="majorEastAsia" w:eastAsiaTheme="majorEastAsia"/>
                <w:szCs w:val="21"/>
                <w:lang w:eastAsia="zh-CN"/>
              </w:rPr>
              <w:t>缺一项</w:t>
            </w:r>
            <w:r>
              <w:rPr>
                <w:rFonts w:hint="eastAsia" w:asciiTheme="majorEastAsia" w:hAnsiTheme="majorEastAsia" w:eastAsiaTheme="majorEastAsia"/>
                <w:szCs w:val="21"/>
              </w:rPr>
              <w:t>扣2分。</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b/>
                <w:szCs w:val="21"/>
              </w:rPr>
            </w:pPr>
            <w:r>
              <w:rPr>
                <w:b/>
                <w:szCs w:val="20"/>
              </w:rPr>
              <w:t>否决项</w:t>
            </w:r>
            <w:r>
              <w:rPr>
                <w:rFonts w:hint="eastAsia" w:asciiTheme="majorEastAsia" w:hAnsiTheme="majorEastAsia" w:eastAsiaTheme="majorEastAsia"/>
                <w:b/>
                <w:szCs w:val="21"/>
              </w:rPr>
              <w:t>：</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根据相关记录文件，抽查10%相关岗位人员</w:t>
            </w:r>
            <w:r>
              <w:rPr>
                <w:rFonts w:hint="eastAsia" w:asciiTheme="majorEastAsia" w:hAnsiTheme="majorEastAsia" w:eastAsiaTheme="majorEastAsia"/>
                <w:szCs w:val="21"/>
                <w:lang w:eastAsia="zh-CN"/>
              </w:rPr>
              <w:t>进行询问</w:t>
            </w:r>
            <w:r>
              <w:rPr>
                <w:rFonts w:hint="eastAsia" w:asciiTheme="majorEastAsia" w:hAnsiTheme="majorEastAsia" w:eastAsiaTheme="majorEastAsia"/>
                <w:szCs w:val="21"/>
              </w:rPr>
              <w:t>,5人及以上未参与相关危险源辨识、分析的，评定验收不通过。</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p>
        </w:tc>
        <w:tc>
          <w:tcPr>
            <w:tcW w:w="2850" w:type="dxa"/>
          </w:tcPr>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b/>
                <w:szCs w:val="21"/>
              </w:rPr>
            </w:pPr>
            <w:r>
              <w:rPr>
                <w:rFonts w:asciiTheme="majorEastAsia" w:hAnsiTheme="majorEastAsia" w:eastAsiaTheme="majorEastAsia"/>
                <w:b/>
                <w:szCs w:val="21"/>
              </w:rPr>
              <w:t>查</w:t>
            </w:r>
            <w:r>
              <w:rPr>
                <w:rFonts w:hint="eastAsia" w:asciiTheme="majorEastAsia" w:hAnsiTheme="majorEastAsia" w:eastAsiaTheme="majorEastAsia"/>
                <w:b/>
                <w:szCs w:val="21"/>
              </w:rPr>
              <w:t>资料、查信息系统：</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1、作业活动分析评价记录。</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2、设备设施分析评价记录。</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3、职业病危害风险清单。</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4、职业病危害因素检测报告。</w:t>
            </w:r>
          </w:p>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b/>
                <w:szCs w:val="21"/>
              </w:rPr>
            </w:pPr>
            <w:r>
              <w:rPr>
                <w:rFonts w:hint="eastAsia" w:asciiTheme="majorEastAsia" w:hAnsiTheme="majorEastAsia" w:eastAsiaTheme="majorEastAsia"/>
                <w:b/>
                <w:szCs w:val="21"/>
              </w:rPr>
              <w:t>询问：</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lang w:eastAsia="zh-CN"/>
              </w:rPr>
              <w:t>询问</w:t>
            </w:r>
            <w:r>
              <w:rPr>
                <w:rFonts w:hint="eastAsia" w:asciiTheme="majorEastAsia" w:hAnsiTheme="majorEastAsia" w:eastAsiaTheme="majorEastAsia"/>
                <w:szCs w:val="21"/>
              </w:rPr>
              <w:t>岗位人员参与危险源辨识、分析情况。岗位人员是否了解本岗位存在的风险点、危险源及其危害后果（事故类型），是否了解其接触的职业病危害因素及其对健康的损害。</w:t>
            </w:r>
          </w:p>
          <w:p>
            <w:pPr>
              <w:keepNext w:val="0"/>
              <w:keepLines w:val="0"/>
              <w:pageBreakBefore w:val="0"/>
              <w:kinsoku/>
              <w:overflowPunct/>
              <w:bidi w:val="0"/>
              <w:adjustRightInd w:val="0"/>
              <w:snapToGrid w:val="0"/>
              <w:spacing w:line="360" w:lineRule="exact"/>
              <w:ind w:right="0" w:rightChars="0" w:firstLine="210" w:firstLineChars="100"/>
              <w:textAlignment w:val="auto"/>
              <w:rPr>
                <w:rFonts w:asciiTheme="majorEastAsia" w:hAnsiTheme="majorEastAsia" w:eastAsiaTheme="majorEastAsia"/>
                <w:szCs w:val="21"/>
              </w:rPr>
            </w:pPr>
          </w:p>
        </w:tc>
        <w:tc>
          <w:tcPr>
            <w:tcW w:w="1615" w:type="dxa"/>
            <w:vAlign w:val="center"/>
          </w:tcPr>
          <w:p>
            <w:pPr>
              <w:keepNext w:val="0"/>
              <w:keepLines w:val="0"/>
              <w:pageBreakBefore w:val="0"/>
              <w:widowControl/>
              <w:kinsoku/>
              <w:overflowPunct/>
              <w:bidi w:val="0"/>
              <w:adjustRightInd w:val="0"/>
              <w:snapToGrid w:val="0"/>
              <w:spacing w:line="360" w:lineRule="exact"/>
              <w:ind w:right="0" w:rightChars="0"/>
              <w:jc w:val="center"/>
              <w:textAlignment w:val="auto"/>
              <w:rPr>
                <w:rFonts w:asciiTheme="majorEastAsia" w:hAnsiTheme="majorEastAsia" w:eastAsiaTheme="majorEastAsia"/>
                <w:szCs w:val="21"/>
              </w:rPr>
            </w:pPr>
          </w:p>
        </w:tc>
        <w:tc>
          <w:tcPr>
            <w:tcW w:w="865" w:type="dxa"/>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2" w:hRule="atLeast"/>
        </w:trPr>
        <w:tc>
          <w:tcPr>
            <w:tcW w:w="676" w:type="dxa"/>
            <w:vMerge w:val="continue"/>
            <w:vAlign w:val="center"/>
          </w:tcPr>
          <w:p>
            <w:pPr>
              <w:keepNext w:val="0"/>
              <w:keepLines w:val="0"/>
              <w:pageBreakBefore w:val="0"/>
              <w:kinsoku/>
              <w:overflowPunct/>
              <w:bidi w:val="0"/>
              <w:adjustRightInd w:val="0"/>
              <w:snapToGrid w:val="0"/>
              <w:spacing w:line="360" w:lineRule="exact"/>
              <w:ind w:right="0" w:rightChars="0"/>
              <w:jc w:val="center"/>
              <w:textAlignment w:val="auto"/>
              <w:rPr>
                <w:rFonts w:asciiTheme="majorEastAsia" w:hAnsiTheme="majorEastAsia" w:eastAsiaTheme="majorEastAsia"/>
                <w:b/>
                <w:szCs w:val="21"/>
              </w:rPr>
            </w:pPr>
          </w:p>
        </w:tc>
        <w:tc>
          <w:tcPr>
            <w:tcW w:w="1499" w:type="dxa"/>
            <w:vAlign w:val="center"/>
          </w:tcPr>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风险评价</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（80分）</w:t>
            </w:r>
          </w:p>
        </w:tc>
        <w:tc>
          <w:tcPr>
            <w:tcW w:w="2792" w:type="dxa"/>
            <w:vAlign w:val="center"/>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1、风险评价准则应符合法律法规及企业安全生产实际。</w:t>
            </w:r>
          </w:p>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2、参与评价人员应熟知企业评价准则，合理评价，评价级别正确。</w:t>
            </w:r>
          </w:p>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3、重大风险的确定依据细则、实施指南进行判定。</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4按照</w:t>
            </w:r>
            <w:r>
              <w:rPr>
                <w:rFonts w:asciiTheme="majorEastAsia" w:hAnsiTheme="majorEastAsia" w:eastAsiaTheme="majorEastAsia"/>
                <w:szCs w:val="21"/>
              </w:rPr>
              <w:t>DB</w:t>
            </w:r>
            <w:r>
              <w:rPr>
                <w:rFonts w:hint="eastAsia" w:asciiTheme="majorEastAsia" w:hAnsiTheme="majorEastAsia" w:eastAsiaTheme="majorEastAsia"/>
                <w:szCs w:val="21"/>
              </w:rPr>
              <w:t>37</w:t>
            </w:r>
            <w:r>
              <w:rPr>
                <w:rFonts w:asciiTheme="majorEastAsia" w:hAnsiTheme="majorEastAsia" w:eastAsiaTheme="majorEastAsia"/>
                <w:szCs w:val="21"/>
              </w:rPr>
              <w:t>/</w:t>
            </w:r>
            <w:r>
              <w:rPr>
                <w:rFonts w:hint="eastAsia" w:asciiTheme="majorEastAsia" w:hAnsiTheme="majorEastAsia" w:eastAsiaTheme="majorEastAsia"/>
                <w:szCs w:val="21"/>
              </w:rPr>
              <w:t>T</w:t>
            </w:r>
            <w:r>
              <w:rPr>
                <w:rFonts w:asciiTheme="majorEastAsia" w:hAnsiTheme="majorEastAsia" w:eastAsiaTheme="majorEastAsia"/>
                <w:szCs w:val="21"/>
              </w:rPr>
              <w:t xml:space="preserve"> </w:t>
            </w:r>
            <w:r>
              <w:rPr>
                <w:rFonts w:hint="eastAsia" w:asciiTheme="majorEastAsia" w:hAnsiTheme="majorEastAsia" w:eastAsiaTheme="majorEastAsia"/>
                <w:szCs w:val="21"/>
              </w:rPr>
              <w:t>2973</w:t>
            </w:r>
            <w:r>
              <w:rPr>
                <w:rFonts w:asciiTheme="majorEastAsia" w:hAnsiTheme="majorEastAsia" w:eastAsiaTheme="majorEastAsia"/>
                <w:szCs w:val="21"/>
              </w:rPr>
              <w:t>—</w:t>
            </w:r>
            <w:r>
              <w:rPr>
                <w:rFonts w:hint="eastAsia" w:asciiTheme="majorEastAsia" w:hAnsiTheme="majorEastAsia" w:eastAsiaTheme="majorEastAsia"/>
                <w:szCs w:val="21"/>
              </w:rPr>
              <w:t>2017中5.5.1进行作业岗位职业病危害风险分级。</w:t>
            </w:r>
          </w:p>
        </w:tc>
        <w:tc>
          <w:tcPr>
            <w:tcW w:w="3877" w:type="dxa"/>
          </w:tcPr>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1、未</w:t>
            </w:r>
            <w:r>
              <w:rPr>
                <w:rFonts w:hint="eastAsia" w:asciiTheme="majorEastAsia" w:hAnsiTheme="majorEastAsia" w:eastAsiaTheme="majorEastAsia"/>
                <w:szCs w:val="21"/>
                <w:lang w:eastAsia="zh-CN"/>
              </w:rPr>
              <w:t>结合企业安全生产实际</w:t>
            </w:r>
            <w:r>
              <w:rPr>
                <w:rFonts w:hint="eastAsia" w:asciiTheme="majorEastAsia" w:hAnsiTheme="majorEastAsia" w:eastAsiaTheme="majorEastAsia"/>
                <w:szCs w:val="21"/>
              </w:rPr>
              <w:t>制定风险评价准则</w:t>
            </w:r>
            <w:r>
              <w:rPr>
                <w:rFonts w:hint="eastAsia" w:asciiTheme="majorEastAsia" w:hAnsiTheme="majorEastAsia" w:eastAsiaTheme="majorEastAsia"/>
                <w:szCs w:val="21"/>
                <w:lang w:eastAsia="zh-CN"/>
              </w:rPr>
              <w:t>的</w:t>
            </w:r>
            <w:r>
              <w:rPr>
                <w:rFonts w:hint="eastAsia" w:asciiTheme="majorEastAsia" w:hAnsiTheme="majorEastAsia" w:eastAsiaTheme="majorEastAsia"/>
                <w:szCs w:val="21"/>
              </w:rPr>
              <w:t>，扣5分。</w:t>
            </w:r>
          </w:p>
          <w:p>
            <w:pPr>
              <w:keepNext w:val="0"/>
              <w:keepLines w:val="0"/>
              <w:pageBreakBefore w:val="0"/>
              <w:widowControl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2、评价人员不熟悉评价准则或者风险评价取值不合理、评价级别不准确</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rPr>
              <w:t>一项不符合扣</w:t>
            </w:r>
            <w:r>
              <w:rPr>
                <w:rFonts w:hint="eastAsia" w:asciiTheme="majorEastAsia" w:hAnsiTheme="majorEastAsia" w:eastAsiaTheme="majorEastAsia"/>
                <w:szCs w:val="21"/>
                <w:lang w:val="en-US" w:eastAsia="zh-CN"/>
              </w:rPr>
              <w:t>2</w:t>
            </w:r>
            <w:r>
              <w:rPr>
                <w:rFonts w:hint="eastAsia" w:asciiTheme="majorEastAsia" w:hAnsiTheme="majorEastAsia" w:eastAsiaTheme="majorEastAsia"/>
                <w:szCs w:val="21"/>
              </w:rPr>
              <w:t>分。</w:t>
            </w:r>
          </w:p>
          <w:p>
            <w:pPr>
              <w:keepNext w:val="0"/>
              <w:keepLines w:val="0"/>
              <w:pageBreakBefore w:val="0"/>
              <w:kinsoku/>
              <w:overflowPunct/>
              <w:bidi w:val="0"/>
              <w:adjustRightInd w:val="0"/>
              <w:snapToGrid w:val="0"/>
              <w:spacing w:line="360" w:lineRule="exact"/>
              <w:ind w:right="0" w:rightChars="0"/>
              <w:textAlignment w:val="auto"/>
              <w:rPr>
                <w:rFonts w:hint="eastAsia"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szCs w:val="21"/>
              </w:rPr>
              <w:t>3</w:t>
            </w:r>
            <w:r>
              <w:rPr>
                <w:rFonts w:hint="eastAsia" w:asciiTheme="majorEastAsia" w:hAnsiTheme="majorEastAsia" w:eastAsiaTheme="majorEastAsia"/>
                <w:color w:val="000000" w:themeColor="text1"/>
                <w:szCs w:val="21"/>
                <w14:textFill>
                  <w14:solidFill>
                    <w14:schemeClr w14:val="tx1"/>
                  </w14:solidFill>
                </w14:textFill>
              </w:rPr>
              <w:t>、应为重大风险而未判定为重大风险的，</w:t>
            </w:r>
            <w:r>
              <w:rPr>
                <w:rFonts w:hint="eastAsia" w:asciiTheme="majorEastAsia" w:hAnsiTheme="majorEastAsia" w:eastAsiaTheme="majorEastAsia"/>
                <w:szCs w:val="21"/>
              </w:rPr>
              <w:t>一项不符合扣</w:t>
            </w:r>
            <w:r>
              <w:rPr>
                <w:rFonts w:hint="eastAsia" w:asciiTheme="majorEastAsia" w:hAnsiTheme="majorEastAsia" w:eastAsiaTheme="majorEastAsia"/>
                <w:color w:val="000000" w:themeColor="text1"/>
                <w:szCs w:val="21"/>
                <w:lang w:val="en-US" w:eastAsia="zh-CN"/>
                <w14:textFill>
                  <w14:solidFill>
                    <w14:schemeClr w14:val="tx1"/>
                  </w14:solidFill>
                </w14:textFill>
              </w:rPr>
              <w:t>10</w:t>
            </w:r>
            <w:r>
              <w:rPr>
                <w:rFonts w:hint="eastAsia" w:asciiTheme="majorEastAsia" w:hAnsiTheme="majorEastAsia" w:eastAsiaTheme="majorEastAsia"/>
                <w:color w:val="000000" w:themeColor="text1"/>
                <w:szCs w:val="21"/>
                <w14:textFill>
                  <w14:solidFill>
                    <w14:schemeClr w14:val="tx1"/>
                  </w14:solidFill>
                </w14:textFill>
              </w:rPr>
              <w:t>分。</w:t>
            </w:r>
            <w:r>
              <w:rPr>
                <w:rFonts w:hint="eastAsia" w:asciiTheme="majorEastAsia" w:hAnsiTheme="majorEastAsia" w:eastAsiaTheme="majorEastAsia"/>
                <w:szCs w:val="21"/>
              </w:rPr>
              <w:t>企业主要负责</w:t>
            </w:r>
            <w:r>
              <w:rPr>
                <w:rFonts w:hint="eastAsia" w:asciiTheme="majorEastAsia" w:hAnsiTheme="majorEastAsia" w:eastAsiaTheme="majorEastAsia"/>
                <w:szCs w:val="21"/>
                <w:lang w:eastAsia="zh-CN"/>
              </w:rPr>
              <w:t>人</w:t>
            </w:r>
            <w:r>
              <w:rPr>
                <w:rFonts w:hint="eastAsia" w:asciiTheme="majorEastAsia" w:hAnsiTheme="majorEastAsia" w:eastAsiaTheme="majorEastAsia"/>
                <w:szCs w:val="21"/>
              </w:rPr>
              <w:t>、部门负责人、岗位人员是否</w:t>
            </w:r>
            <w:r>
              <w:rPr>
                <w:rFonts w:hint="eastAsia" w:asciiTheme="majorEastAsia" w:hAnsiTheme="majorEastAsia" w:eastAsiaTheme="majorEastAsia"/>
                <w:szCs w:val="21"/>
                <w:lang w:eastAsia="zh-CN"/>
              </w:rPr>
              <w:t>掌握</w:t>
            </w:r>
            <w:r>
              <w:rPr>
                <w:rFonts w:hint="eastAsia" w:asciiTheme="majorEastAsia" w:hAnsiTheme="majorEastAsia" w:eastAsiaTheme="majorEastAsia"/>
                <w:szCs w:val="21"/>
              </w:rPr>
              <w:t>企业重大风险</w:t>
            </w:r>
            <w:r>
              <w:rPr>
                <w:rFonts w:hint="eastAsia" w:asciiTheme="majorEastAsia" w:hAnsiTheme="majorEastAsia" w:eastAsiaTheme="majorEastAsia"/>
                <w:szCs w:val="21"/>
                <w:lang w:eastAsia="zh-CN"/>
              </w:rPr>
              <w:t>相关内容，</w:t>
            </w:r>
            <w:r>
              <w:rPr>
                <w:rFonts w:hint="eastAsia" w:asciiTheme="majorEastAsia" w:hAnsiTheme="majorEastAsia" w:eastAsiaTheme="majorEastAsia"/>
                <w:szCs w:val="21"/>
              </w:rPr>
              <w:t>一项不</w:t>
            </w:r>
            <w:r>
              <w:rPr>
                <w:rFonts w:hint="eastAsia" w:asciiTheme="majorEastAsia" w:hAnsiTheme="majorEastAsia" w:eastAsiaTheme="majorEastAsia"/>
                <w:szCs w:val="21"/>
                <w:lang w:eastAsia="zh-CN"/>
              </w:rPr>
              <w:t>掌握</w:t>
            </w:r>
            <w:r>
              <w:rPr>
                <w:rFonts w:hint="eastAsia" w:asciiTheme="majorEastAsia" w:hAnsiTheme="majorEastAsia" w:eastAsiaTheme="majorEastAsia"/>
                <w:color w:val="000000" w:themeColor="text1"/>
                <w:szCs w:val="21"/>
                <w14:textFill>
                  <w14:solidFill>
                    <w14:schemeClr w14:val="tx1"/>
                  </w14:solidFill>
                </w14:textFill>
              </w:rPr>
              <w:t>扣</w:t>
            </w:r>
            <w:r>
              <w:rPr>
                <w:rFonts w:hint="eastAsia" w:asciiTheme="majorEastAsia" w:hAnsiTheme="majorEastAsia" w:eastAsiaTheme="majorEastAsia"/>
                <w:color w:val="000000" w:themeColor="text1"/>
                <w:szCs w:val="21"/>
                <w:lang w:val="en-US" w:eastAsia="zh-CN"/>
                <w14:textFill>
                  <w14:solidFill>
                    <w14:schemeClr w14:val="tx1"/>
                  </w14:solidFill>
                </w14:textFill>
              </w:rPr>
              <w:t>2</w:t>
            </w:r>
            <w:r>
              <w:rPr>
                <w:rFonts w:hint="eastAsia" w:asciiTheme="majorEastAsia" w:hAnsiTheme="majorEastAsia" w:eastAsiaTheme="majorEastAsia"/>
                <w:color w:val="000000" w:themeColor="text1"/>
                <w:szCs w:val="21"/>
                <w14:textFill>
                  <w14:solidFill>
                    <w14:schemeClr w14:val="tx1"/>
                  </w14:solidFill>
                </w14:textFill>
              </w:rPr>
              <w:t>分。</w:t>
            </w:r>
          </w:p>
          <w:p>
            <w:pPr>
              <w:keepNext w:val="0"/>
              <w:keepLines w:val="0"/>
              <w:pageBreakBefore w:val="0"/>
              <w:kinsoku/>
              <w:overflowPunct/>
              <w:bidi w:val="0"/>
              <w:adjustRightInd w:val="0"/>
              <w:snapToGrid w:val="0"/>
              <w:spacing w:line="360" w:lineRule="exact"/>
              <w:ind w:right="0" w:rightChars="0"/>
              <w:textAlignment w:val="auto"/>
              <w:rPr>
                <w:rFonts w:hint="eastAsia"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4、未进行作业岗位职业病危害风险分级，</w:t>
            </w:r>
            <w:r>
              <w:rPr>
                <w:rFonts w:hint="eastAsia" w:asciiTheme="majorEastAsia" w:hAnsiTheme="majorEastAsia" w:eastAsiaTheme="majorEastAsia"/>
                <w:szCs w:val="21"/>
              </w:rPr>
              <w:t>一项不符合</w:t>
            </w:r>
            <w:r>
              <w:rPr>
                <w:rFonts w:hint="eastAsia" w:asciiTheme="majorEastAsia" w:hAnsiTheme="majorEastAsia" w:eastAsiaTheme="majorEastAsia"/>
                <w:color w:val="000000" w:themeColor="text1"/>
                <w:szCs w:val="21"/>
                <w14:textFill>
                  <w14:solidFill>
                    <w14:schemeClr w14:val="tx1"/>
                  </w14:solidFill>
                </w14:textFill>
              </w:rPr>
              <w:t>扣</w:t>
            </w:r>
            <w:r>
              <w:rPr>
                <w:rFonts w:hint="eastAsia" w:asciiTheme="majorEastAsia" w:hAnsiTheme="majorEastAsia" w:eastAsiaTheme="majorEastAsia"/>
                <w:color w:val="000000" w:themeColor="text1"/>
                <w:szCs w:val="21"/>
                <w:lang w:val="en-US" w:eastAsia="zh-CN"/>
                <w14:textFill>
                  <w14:solidFill>
                    <w14:schemeClr w14:val="tx1"/>
                  </w14:solidFill>
                </w14:textFill>
              </w:rPr>
              <w:t>2</w:t>
            </w:r>
            <w:r>
              <w:rPr>
                <w:rFonts w:hint="eastAsia" w:asciiTheme="majorEastAsia" w:hAnsiTheme="majorEastAsia" w:eastAsiaTheme="majorEastAsia"/>
                <w:color w:val="000000" w:themeColor="text1"/>
                <w:szCs w:val="21"/>
                <w14:textFill>
                  <w14:solidFill>
                    <w14:schemeClr w14:val="tx1"/>
                  </w14:solidFill>
                </w14:textFill>
              </w:rPr>
              <w:t>分。</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b/>
                <w:color w:val="000000" w:themeColor="text1"/>
                <w:szCs w:val="21"/>
                <w14:textFill>
                  <w14:solidFill>
                    <w14:schemeClr w14:val="tx1"/>
                  </w14:solidFill>
                </w14:textFill>
              </w:rPr>
            </w:pPr>
            <w:r>
              <w:rPr>
                <w:b/>
                <w:color w:val="000000" w:themeColor="text1"/>
                <w:szCs w:val="20"/>
                <w14:textFill>
                  <w14:solidFill>
                    <w14:schemeClr w14:val="tx1"/>
                  </w14:solidFill>
                </w14:textFill>
              </w:rPr>
              <w:t>否决项</w:t>
            </w:r>
            <w:r>
              <w:rPr>
                <w:rFonts w:hint="eastAsia" w:asciiTheme="majorEastAsia" w:hAnsiTheme="majorEastAsia" w:eastAsiaTheme="majorEastAsia"/>
                <w:b/>
                <w:color w:val="000000" w:themeColor="text1"/>
                <w:szCs w:val="21"/>
                <w14:textFill>
                  <w14:solidFill>
                    <w14:schemeClr w14:val="tx1"/>
                  </w14:solidFill>
                </w14:textFill>
              </w:rPr>
              <w:t>：</w:t>
            </w:r>
          </w:p>
          <w:p>
            <w:pPr>
              <w:keepNext w:val="0"/>
              <w:keepLines w:val="0"/>
              <w:pageBreakBefore w:val="0"/>
              <w:kinsoku/>
              <w:overflowPunct/>
              <w:bidi w:val="0"/>
              <w:adjustRightInd w:val="0"/>
              <w:snapToGrid w:val="0"/>
              <w:spacing w:line="360" w:lineRule="exact"/>
              <w:ind w:right="0" w:rightChars="0"/>
              <w:textAlignment w:val="auto"/>
              <w:rPr>
                <w:rFonts w:hint="eastAsia" w:asciiTheme="majorEastAsia" w:hAnsiTheme="majorEastAsia" w:eastAsiaTheme="majorEastAsia"/>
                <w:szCs w:val="21"/>
              </w:rPr>
            </w:pPr>
            <w:r>
              <w:rPr>
                <w:rFonts w:hint="eastAsia" w:asciiTheme="majorEastAsia" w:hAnsiTheme="majorEastAsia" w:eastAsiaTheme="majorEastAsia"/>
                <w:color w:val="000000" w:themeColor="text1"/>
                <w:szCs w:val="21"/>
                <w14:textFill>
                  <w14:solidFill>
                    <w14:schemeClr w14:val="tx1"/>
                  </w14:solidFill>
                </w14:textFill>
              </w:rPr>
              <w:t>应判定为重大风险而未判定为重大风险，存在三项的，评定验收不通过</w:t>
            </w:r>
            <w:r>
              <w:rPr>
                <w:rFonts w:hint="eastAsia" w:asciiTheme="majorEastAsia" w:hAnsiTheme="majorEastAsia" w:eastAsiaTheme="majorEastAsia"/>
                <w:szCs w:val="21"/>
              </w:rPr>
              <w:t>。</w:t>
            </w:r>
          </w:p>
        </w:tc>
        <w:tc>
          <w:tcPr>
            <w:tcW w:w="2850" w:type="dxa"/>
          </w:tcPr>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b/>
                <w:szCs w:val="21"/>
              </w:rPr>
            </w:pPr>
            <w:r>
              <w:rPr>
                <w:rFonts w:asciiTheme="majorEastAsia" w:hAnsiTheme="majorEastAsia" w:eastAsiaTheme="majorEastAsia"/>
                <w:b/>
                <w:szCs w:val="21"/>
              </w:rPr>
              <w:t>查</w:t>
            </w:r>
            <w:r>
              <w:rPr>
                <w:rFonts w:hint="eastAsia" w:asciiTheme="majorEastAsia" w:hAnsiTheme="majorEastAsia" w:eastAsiaTheme="majorEastAsia"/>
                <w:b/>
                <w:szCs w:val="21"/>
              </w:rPr>
              <w:t>资料、查信息系统：</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1、风险评价准则。</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2、工作危害分析及安全检查表分析等分析记录。</w:t>
            </w:r>
          </w:p>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3、作业岗位职业病危害风险分级报告。</w:t>
            </w:r>
          </w:p>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b/>
                <w:szCs w:val="21"/>
              </w:rPr>
            </w:pPr>
            <w:r>
              <w:rPr>
                <w:rFonts w:asciiTheme="majorEastAsia" w:hAnsiTheme="majorEastAsia" w:eastAsiaTheme="majorEastAsia"/>
                <w:b/>
                <w:szCs w:val="21"/>
              </w:rPr>
              <w:t>询问</w:t>
            </w:r>
            <w:r>
              <w:rPr>
                <w:rFonts w:hint="eastAsia" w:asciiTheme="majorEastAsia" w:hAnsiTheme="majorEastAsia" w:eastAsiaTheme="majorEastAsia"/>
                <w:b/>
                <w:szCs w:val="21"/>
              </w:rPr>
              <w:t>：</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lang w:val="en-US" w:eastAsia="zh-CN"/>
              </w:rPr>
              <w:t>1、</w:t>
            </w:r>
            <w:r>
              <w:rPr>
                <w:rFonts w:hint="eastAsia" w:asciiTheme="majorEastAsia" w:hAnsiTheme="majorEastAsia" w:eastAsiaTheme="majorEastAsia"/>
                <w:szCs w:val="21"/>
              </w:rPr>
              <w:t>企业主要负责</w:t>
            </w:r>
            <w:r>
              <w:rPr>
                <w:rFonts w:hint="eastAsia" w:asciiTheme="majorEastAsia" w:hAnsiTheme="majorEastAsia" w:eastAsiaTheme="majorEastAsia"/>
                <w:szCs w:val="21"/>
                <w:lang w:eastAsia="zh-CN"/>
              </w:rPr>
              <w:t>人</w:t>
            </w:r>
            <w:r>
              <w:rPr>
                <w:rFonts w:hint="eastAsia" w:asciiTheme="majorEastAsia" w:hAnsiTheme="majorEastAsia" w:eastAsiaTheme="majorEastAsia"/>
                <w:szCs w:val="21"/>
              </w:rPr>
              <w:t>、部门负责人、岗位人员是否</w:t>
            </w:r>
            <w:r>
              <w:rPr>
                <w:rFonts w:hint="eastAsia" w:asciiTheme="majorEastAsia" w:hAnsiTheme="majorEastAsia" w:eastAsiaTheme="majorEastAsia"/>
                <w:szCs w:val="21"/>
                <w:lang w:eastAsia="zh-CN"/>
              </w:rPr>
              <w:t>掌握</w:t>
            </w:r>
            <w:r>
              <w:rPr>
                <w:rFonts w:hint="eastAsia" w:asciiTheme="majorEastAsia" w:hAnsiTheme="majorEastAsia" w:eastAsiaTheme="majorEastAsia"/>
                <w:szCs w:val="21"/>
              </w:rPr>
              <w:t>企业重大风险</w:t>
            </w:r>
            <w:r>
              <w:rPr>
                <w:rFonts w:hint="eastAsia" w:asciiTheme="majorEastAsia" w:hAnsiTheme="majorEastAsia" w:eastAsiaTheme="majorEastAsia"/>
                <w:szCs w:val="21"/>
                <w:lang w:eastAsia="zh-CN"/>
              </w:rPr>
              <w:t>相关内容</w:t>
            </w:r>
            <w:r>
              <w:rPr>
                <w:rFonts w:hint="eastAsia" w:asciiTheme="majorEastAsia" w:hAnsiTheme="majorEastAsia" w:eastAsiaTheme="majorEastAsia"/>
                <w:szCs w:val="21"/>
              </w:rPr>
              <w:t>。</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lang w:val="en-US" w:eastAsia="zh-CN"/>
              </w:rPr>
              <w:t>2、</w:t>
            </w:r>
            <w:r>
              <w:rPr>
                <w:rFonts w:hint="eastAsia" w:asciiTheme="majorEastAsia" w:hAnsiTheme="majorEastAsia" w:eastAsiaTheme="majorEastAsia"/>
                <w:szCs w:val="21"/>
              </w:rPr>
              <w:t>相关岗位人员是否熟知风险评价规则并进行正确的评价。</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p>
        </w:tc>
        <w:tc>
          <w:tcPr>
            <w:tcW w:w="1615" w:type="dxa"/>
            <w:vAlign w:val="center"/>
          </w:tcPr>
          <w:p>
            <w:pPr>
              <w:keepNext w:val="0"/>
              <w:keepLines w:val="0"/>
              <w:pageBreakBefore w:val="0"/>
              <w:kinsoku/>
              <w:overflowPunct/>
              <w:bidi w:val="0"/>
              <w:spacing w:line="360" w:lineRule="exact"/>
              <w:ind w:right="0" w:rightChars="0"/>
              <w:jc w:val="center"/>
              <w:textAlignment w:val="auto"/>
              <w:rPr>
                <w:rFonts w:asciiTheme="majorEastAsia" w:hAnsiTheme="majorEastAsia" w:eastAsiaTheme="majorEastAsia"/>
                <w:color w:val="FF0000"/>
                <w:szCs w:val="21"/>
              </w:rPr>
            </w:pPr>
          </w:p>
        </w:tc>
        <w:tc>
          <w:tcPr>
            <w:tcW w:w="865" w:type="dxa"/>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trPr>
        <w:tc>
          <w:tcPr>
            <w:tcW w:w="676" w:type="dxa"/>
            <w:vMerge w:val="continue"/>
            <w:vAlign w:val="center"/>
          </w:tcPr>
          <w:p>
            <w:pPr>
              <w:keepNext w:val="0"/>
              <w:keepLines w:val="0"/>
              <w:pageBreakBefore w:val="0"/>
              <w:kinsoku/>
              <w:overflowPunct/>
              <w:bidi w:val="0"/>
              <w:adjustRightInd w:val="0"/>
              <w:snapToGrid w:val="0"/>
              <w:spacing w:line="360" w:lineRule="exact"/>
              <w:ind w:right="0" w:rightChars="0"/>
              <w:jc w:val="center"/>
              <w:textAlignment w:val="auto"/>
              <w:rPr>
                <w:rFonts w:asciiTheme="majorEastAsia" w:hAnsiTheme="majorEastAsia" w:eastAsiaTheme="majorEastAsia"/>
                <w:b/>
                <w:szCs w:val="21"/>
              </w:rPr>
            </w:pPr>
          </w:p>
        </w:tc>
        <w:tc>
          <w:tcPr>
            <w:tcW w:w="1499" w:type="dxa"/>
            <w:vAlign w:val="center"/>
          </w:tcPr>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控制措施</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（150分）</w:t>
            </w:r>
          </w:p>
        </w:tc>
        <w:tc>
          <w:tcPr>
            <w:tcW w:w="2792" w:type="dxa"/>
            <w:vAlign w:val="center"/>
          </w:tcPr>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岗位人员从工程技术、管理、培训教育、个体防护、应急处置五个方面，针对辨识出的危险源，提出风险控制措施，并经过企业相关程序评审确定，控制措施应与实际相符，具有可操作性并得到有效落实。</w:t>
            </w:r>
          </w:p>
        </w:tc>
        <w:tc>
          <w:tcPr>
            <w:tcW w:w="3877" w:type="dxa"/>
          </w:tcPr>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1、控制措施与实际不符</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rPr>
              <w:t>可操作性</w:t>
            </w:r>
            <w:r>
              <w:rPr>
                <w:rFonts w:hint="eastAsia" w:asciiTheme="majorEastAsia" w:hAnsiTheme="majorEastAsia" w:eastAsiaTheme="majorEastAsia"/>
                <w:szCs w:val="21"/>
                <w:lang w:eastAsia="zh-CN"/>
              </w:rPr>
              <w:t>较差、未得到有效落实</w:t>
            </w:r>
            <w:r>
              <w:rPr>
                <w:rFonts w:hint="eastAsia" w:asciiTheme="majorEastAsia" w:hAnsiTheme="majorEastAsia" w:eastAsiaTheme="majorEastAsia"/>
                <w:szCs w:val="21"/>
              </w:rPr>
              <w:t>或遗漏的，一项不符合扣</w:t>
            </w:r>
            <w:r>
              <w:rPr>
                <w:rFonts w:hint="eastAsia" w:asciiTheme="majorEastAsia" w:hAnsiTheme="majorEastAsia" w:eastAsiaTheme="majorEastAsia"/>
                <w:szCs w:val="21"/>
                <w:lang w:val="en-US" w:eastAsia="zh-CN"/>
              </w:rPr>
              <w:t>2</w:t>
            </w:r>
            <w:r>
              <w:rPr>
                <w:rFonts w:hint="eastAsia" w:asciiTheme="majorEastAsia" w:hAnsiTheme="majorEastAsia" w:eastAsiaTheme="majorEastAsia"/>
                <w:szCs w:val="21"/>
              </w:rPr>
              <w:t>分。</w:t>
            </w:r>
            <w:r>
              <w:rPr>
                <w:rFonts w:asciiTheme="majorEastAsia" w:hAnsiTheme="majorEastAsia" w:eastAsiaTheme="majorEastAsia"/>
                <w:szCs w:val="21"/>
              </w:rPr>
              <w:t xml:space="preserve"> </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2、岗位人员未参与控制措施制定的，</w:t>
            </w:r>
            <w:r>
              <w:rPr>
                <w:rFonts w:hint="eastAsia" w:asciiTheme="majorEastAsia" w:hAnsiTheme="majorEastAsia" w:eastAsiaTheme="majorEastAsia"/>
                <w:szCs w:val="21"/>
                <w:lang w:eastAsia="zh-CN"/>
              </w:rPr>
              <w:t>每人次</w:t>
            </w:r>
            <w:r>
              <w:rPr>
                <w:rFonts w:asciiTheme="majorEastAsia" w:hAnsiTheme="majorEastAsia" w:eastAsiaTheme="majorEastAsia"/>
                <w:szCs w:val="21"/>
              </w:rPr>
              <w:t>扣</w:t>
            </w:r>
            <w:r>
              <w:rPr>
                <w:rFonts w:hint="eastAsia" w:asciiTheme="majorEastAsia" w:hAnsiTheme="majorEastAsia" w:eastAsiaTheme="majorEastAsia"/>
                <w:szCs w:val="21"/>
                <w:lang w:val="en-US" w:eastAsia="zh-CN"/>
              </w:rPr>
              <w:t>2</w:t>
            </w:r>
            <w:r>
              <w:rPr>
                <w:rFonts w:hint="eastAsia" w:asciiTheme="majorEastAsia" w:hAnsiTheme="majorEastAsia" w:eastAsiaTheme="majorEastAsia"/>
                <w:szCs w:val="21"/>
              </w:rPr>
              <w:t>分。岗位人员</w:t>
            </w:r>
            <w:r>
              <w:rPr>
                <w:rFonts w:hint="eastAsia" w:asciiTheme="majorEastAsia" w:hAnsiTheme="majorEastAsia" w:eastAsiaTheme="majorEastAsia"/>
                <w:szCs w:val="21"/>
                <w:lang w:eastAsia="zh-CN"/>
              </w:rPr>
              <w:t>未</w:t>
            </w:r>
            <w:r>
              <w:rPr>
                <w:rFonts w:hint="eastAsia" w:asciiTheme="majorEastAsia" w:hAnsiTheme="majorEastAsia" w:eastAsiaTheme="majorEastAsia"/>
                <w:szCs w:val="21"/>
              </w:rPr>
              <w:t>掌握自身岗位相关控制措施</w:t>
            </w:r>
            <w:r>
              <w:rPr>
                <w:rFonts w:hint="eastAsia" w:asciiTheme="majorEastAsia" w:hAnsiTheme="majorEastAsia" w:eastAsiaTheme="majorEastAsia"/>
                <w:szCs w:val="21"/>
                <w:lang w:eastAsia="zh-CN"/>
              </w:rPr>
              <w:t>的，每人次</w:t>
            </w:r>
            <w:r>
              <w:rPr>
                <w:rFonts w:asciiTheme="majorEastAsia" w:hAnsiTheme="majorEastAsia" w:eastAsiaTheme="majorEastAsia"/>
                <w:szCs w:val="21"/>
              </w:rPr>
              <w:t>扣</w:t>
            </w:r>
            <w:r>
              <w:rPr>
                <w:rFonts w:hint="eastAsia" w:asciiTheme="majorEastAsia" w:hAnsiTheme="majorEastAsia" w:eastAsiaTheme="majorEastAsia"/>
                <w:szCs w:val="21"/>
                <w:lang w:val="en-US" w:eastAsia="zh-CN"/>
              </w:rPr>
              <w:t>2</w:t>
            </w:r>
            <w:r>
              <w:rPr>
                <w:rFonts w:hint="eastAsia" w:asciiTheme="majorEastAsia" w:hAnsiTheme="majorEastAsia" w:eastAsiaTheme="majorEastAsia"/>
                <w:szCs w:val="21"/>
              </w:rPr>
              <w:t>分。</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3、企业未按程序组织进行控制措施评审确定的，扣</w:t>
            </w:r>
            <w:r>
              <w:rPr>
                <w:rFonts w:hint="eastAsia" w:asciiTheme="majorEastAsia" w:hAnsiTheme="majorEastAsia" w:eastAsiaTheme="majorEastAsia"/>
                <w:szCs w:val="21"/>
                <w:lang w:val="en-US" w:eastAsia="zh-CN"/>
              </w:rPr>
              <w:t>1</w:t>
            </w:r>
            <w:r>
              <w:rPr>
                <w:rFonts w:hint="eastAsia" w:asciiTheme="majorEastAsia" w:hAnsiTheme="majorEastAsia" w:eastAsiaTheme="majorEastAsia"/>
                <w:szCs w:val="21"/>
              </w:rPr>
              <w:t>分。</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b/>
                <w:bCs/>
                <w:szCs w:val="21"/>
              </w:rPr>
            </w:pPr>
            <w:r>
              <w:rPr>
                <w:rFonts w:hint="eastAsia" w:asciiTheme="majorEastAsia" w:hAnsiTheme="majorEastAsia" w:eastAsiaTheme="majorEastAsia"/>
                <w:b/>
                <w:bCs/>
                <w:szCs w:val="21"/>
              </w:rPr>
              <w:t>否决项：</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根据相关记录文件，核查控制措施，30%及以上控制措施与实际不相符或不具有可操作性，或未有效落实，评定验收不通过。</w:t>
            </w:r>
          </w:p>
        </w:tc>
        <w:tc>
          <w:tcPr>
            <w:tcW w:w="2850" w:type="dxa"/>
          </w:tcPr>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b/>
                <w:szCs w:val="21"/>
              </w:rPr>
            </w:pPr>
            <w:r>
              <w:rPr>
                <w:rFonts w:asciiTheme="majorEastAsia" w:hAnsiTheme="majorEastAsia" w:eastAsiaTheme="majorEastAsia"/>
                <w:b/>
                <w:szCs w:val="21"/>
              </w:rPr>
              <w:t>查</w:t>
            </w:r>
            <w:r>
              <w:rPr>
                <w:rFonts w:hint="eastAsia" w:asciiTheme="majorEastAsia" w:hAnsiTheme="majorEastAsia" w:eastAsiaTheme="majorEastAsia"/>
                <w:b/>
                <w:szCs w:val="21"/>
              </w:rPr>
              <w:t>资料、查信息系统：</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检查控制措施制定过程，是否全员参与并经过评审确定，控制措施是否全面、无疏漏</w:t>
            </w:r>
            <w:r>
              <w:rPr>
                <w:rFonts w:hint="eastAsia" w:asciiTheme="majorEastAsia" w:hAnsiTheme="majorEastAsia" w:eastAsiaTheme="majorEastAsia"/>
                <w:szCs w:val="21"/>
                <w:lang w:eastAsia="zh-CN"/>
              </w:rPr>
              <w:t>、可操作性强并有效落实</w:t>
            </w:r>
            <w:r>
              <w:rPr>
                <w:rFonts w:hint="eastAsia" w:asciiTheme="majorEastAsia" w:hAnsiTheme="majorEastAsia" w:eastAsiaTheme="majorEastAsia"/>
                <w:szCs w:val="21"/>
              </w:rPr>
              <w:t>。</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b/>
                <w:szCs w:val="21"/>
              </w:rPr>
            </w:pPr>
            <w:r>
              <w:rPr>
                <w:rFonts w:hint="eastAsia" w:asciiTheme="majorEastAsia" w:hAnsiTheme="majorEastAsia" w:eastAsiaTheme="majorEastAsia"/>
                <w:b/>
                <w:szCs w:val="21"/>
              </w:rPr>
              <w:t>现场检查：</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 xml:space="preserve"> 核查岗位人员是否掌握自身岗位相关控制措施。</w:t>
            </w:r>
          </w:p>
        </w:tc>
        <w:tc>
          <w:tcPr>
            <w:tcW w:w="1615" w:type="dxa"/>
            <w:vAlign w:val="center"/>
          </w:tcPr>
          <w:p>
            <w:pPr>
              <w:keepNext w:val="0"/>
              <w:keepLines w:val="0"/>
              <w:pageBreakBefore w:val="0"/>
              <w:kinsoku/>
              <w:overflowPunct/>
              <w:bidi w:val="0"/>
              <w:spacing w:line="360" w:lineRule="exact"/>
              <w:ind w:right="0" w:rightChars="0"/>
              <w:jc w:val="center"/>
              <w:textAlignment w:val="auto"/>
              <w:rPr>
                <w:rFonts w:asciiTheme="majorEastAsia" w:hAnsiTheme="majorEastAsia" w:eastAsiaTheme="majorEastAsia"/>
                <w:color w:val="FF0000"/>
                <w:szCs w:val="21"/>
              </w:rPr>
            </w:pPr>
          </w:p>
        </w:tc>
        <w:tc>
          <w:tcPr>
            <w:tcW w:w="865" w:type="dxa"/>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Merge w:val="continue"/>
            <w:vAlign w:val="center"/>
          </w:tcPr>
          <w:p>
            <w:pPr>
              <w:keepNext w:val="0"/>
              <w:keepLines w:val="0"/>
              <w:pageBreakBefore w:val="0"/>
              <w:kinsoku/>
              <w:overflowPunct/>
              <w:bidi w:val="0"/>
              <w:adjustRightInd w:val="0"/>
              <w:snapToGrid w:val="0"/>
              <w:spacing w:line="360" w:lineRule="exact"/>
              <w:ind w:right="0" w:rightChars="0"/>
              <w:jc w:val="center"/>
              <w:textAlignment w:val="auto"/>
              <w:rPr>
                <w:rFonts w:asciiTheme="majorEastAsia" w:hAnsiTheme="majorEastAsia" w:eastAsiaTheme="majorEastAsia"/>
                <w:b/>
                <w:szCs w:val="21"/>
              </w:rPr>
            </w:pPr>
          </w:p>
        </w:tc>
        <w:tc>
          <w:tcPr>
            <w:tcW w:w="1499" w:type="dxa"/>
            <w:vAlign w:val="center"/>
          </w:tcPr>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风险分级管控</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（90分）</w:t>
            </w:r>
          </w:p>
        </w:tc>
        <w:tc>
          <w:tcPr>
            <w:tcW w:w="2792" w:type="dxa"/>
            <w:vAlign w:val="center"/>
          </w:tcPr>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1、</w:t>
            </w:r>
            <w:r>
              <w:rPr>
                <w:rFonts w:asciiTheme="majorEastAsia" w:hAnsiTheme="majorEastAsia" w:eastAsiaTheme="majorEastAsia"/>
                <w:szCs w:val="21"/>
              </w:rPr>
              <w:t>企业应结合机构设置情况</w:t>
            </w:r>
            <w:r>
              <w:rPr>
                <w:rFonts w:hint="eastAsia" w:asciiTheme="majorEastAsia" w:hAnsiTheme="majorEastAsia" w:eastAsiaTheme="majorEastAsia"/>
                <w:szCs w:val="21"/>
                <w:lang w:eastAsia="zh-CN"/>
              </w:rPr>
              <w:t>，</w:t>
            </w:r>
            <w:r>
              <w:rPr>
                <w:rFonts w:asciiTheme="majorEastAsia" w:hAnsiTheme="majorEastAsia" w:eastAsiaTheme="majorEastAsia"/>
                <w:szCs w:val="21"/>
              </w:rPr>
              <w:t>合理确定各等级风险的管控层级</w:t>
            </w:r>
            <w:r>
              <w:rPr>
                <w:rFonts w:hint="eastAsia" w:asciiTheme="majorEastAsia" w:hAnsiTheme="majorEastAsia" w:eastAsiaTheme="majorEastAsia"/>
                <w:szCs w:val="21"/>
              </w:rPr>
              <w:t>。</w:t>
            </w:r>
          </w:p>
          <w:p>
            <w:pPr>
              <w:keepNext w:val="0"/>
              <w:keepLines w:val="0"/>
              <w:pageBreakBefore w:val="0"/>
              <w:kinsoku/>
              <w:overflowPunct/>
              <w:bidi w:val="0"/>
              <w:spacing w:line="360" w:lineRule="exact"/>
              <w:ind w:right="0" w:rightChars="0"/>
              <w:textAlignment w:val="auto"/>
              <w:rPr>
                <w:szCs w:val="20"/>
              </w:rPr>
            </w:pPr>
            <w:r>
              <w:rPr>
                <w:rFonts w:hint="eastAsia"/>
                <w:szCs w:val="20"/>
              </w:rPr>
              <w:t>2、根据风险分级管控原则</w:t>
            </w:r>
            <w:r>
              <w:rPr>
                <w:rFonts w:hint="eastAsia"/>
                <w:szCs w:val="20"/>
                <w:lang w:eastAsia="zh-CN"/>
              </w:rPr>
              <w:t>，</w:t>
            </w:r>
            <w:r>
              <w:rPr>
                <w:rFonts w:hint="eastAsia"/>
                <w:szCs w:val="20"/>
              </w:rPr>
              <w:t>确定风险点、危险源的管控层级</w:t>
            </w:r>
            <w:r>
              <w:rPr>
                <w:rFonts w:hint="eastAsia"/>
                <w:szCs w:val="20"/>
                <w:lang w:eastAsia="zh-CN"/>
              </w:rPr>
              <w:t>，落实管控责任</w:t>
            </w:r>
            <w:r>
              <w:rPr>
                <w:rFonts w:hint="eastAsia"/>
                <w:szCs w:val="20"/>
              </w:rPr>
              <w:t>。</w:t>
            </w:r>
          </w:p>
          <w:p>
            <w:pPr>
              <w:keepNext w:val="0"/>
              <w:keepLines w:val="0"/>
              <w:pageBreakBefore w:val="0"/>
              <w:kinsoku/>
              <w:overflowPunct/>
              <w:bidi w:val="0"/>
              <w:spacing w:line="360" w:lineRule="exact"/>
              <w:ind w:right="0" w:rightChars="0"/>
              <w:textAlignment w:val="auto"/>
              <w:rPr>
                <w:szCs w:val="20"/>
              </w:rPr>
            </w:pPr>
          </w:p>
        </w:tc>
        <w:tc>
          <w:tcPr>
            <w:tcW w:w="3877" w:type="dxa"/>
          </w:tcPr>
          <w:p>
            <w:pPr>
              <w:keepNext w:val="0"/>
              <w:keepLines w:val="0"/>
              <w:pageBreakBefore w:val="0"/>
              <w:numPr>
                <w:ilvl w:val="0"/>
                <w:numId w:val="6"/>
              </w:numPr>
              <w:kinsoku/>
              <w:overflowPunct/>
              <w:bidi w:val="0"/>
              <w:adjustRightInd w:val="0"/>
              <w:snapToGrid w:val="0"/>
              <w:spacing w:line="360" w:lineRule="exact"/>
              <w:ind w:right="0" w:rightChars="0"/>
              <w:textAlignment w:val="auto"/>
              <w:rPr>
                <w:rFonts w:hint="eastAsia" w:asciiTheme="majorEastAsia" w:hAnsiTheme="majorEastAsia" w:eastAsiaTheme="majorEastAsia"/>
                <w:szCs w:val="21"/>
              </w:rPr>
            </w:pPr>
            <w:r>
              <w:rPr>
                <w:rFonts w:hint="eastAsia" w:asciiTheme="majorEastAsia" w:hAnsiTheme="majorEastAsia" w:eastAsiaTheme="majorEastAsia"/>
                <w:szCs w:val="21"/>
              </w:rPr>
              <w:t>风险管控层级不符合地方标准要求的，扣5分。</w:t>
            </w:r>
          </w:p>
          <w:p>
            <w:pPr>
              <w:keepNext w:val="0"/>
              <w:keepLines w:val="0"/>
              <w:pageBreakBefore w:val="0"/>
              <w:numPr>
                <w:ilvl w:val="0"/>
                <w:numId w:val="6"/>
              </w:numPr>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各风险点和危险源未根据管控层级确定责任部门及人员</w:t>
            </w:r>
            <w:r>
              <w:rPr>
                <w:rFonts w:hint="eastAsia" w:asciiTheme="majorEastAsia" w:hAnsiTheme="majorEastAsia" w:eastAsiaTheme="majorEastAsia"/>
                <w:szCs w:val="21"/>
                <w:lang w:eastAsia="zh-CN"/>
              </w:rPr>
              <w:t>，落实管控责任的</w:t>
            </w:r>
            <w:r>
              <w:rPr>
                <w:rFonts w:hint="eastAsia" w:asciiTheme="majorEastAsia" w:hAnsiTheme="majorEastAsia" w:eastAsiaTheme="majorEastAsia"/>
                <w:szCs w:val="21"/>
              </w:rPr>
              <w:t>，每项扣2分。</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3、抽查企业主要负责人、部门负责人、岗位人员</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rPr>
              <w:t>未掌握</w:t>
            </w:r>
            <w:r>
              <w:rPr>
                <w:rFonts w:hint="eastAsia" w:asciiTheme="majorEastAsia" w:hAnsiTheme="majorEastAsia" w:eastAsiaTheme="majorEastAsia"/>
                <w:szCs w:val="21"/>
                <w:lang w:eastAsia="zh-CN"/>
              </w:rPr>
              <w:t>相应</w:t>
            </w:r>
            <w:r>
              <w:rPr>
                <w:rFonts w:hint="eastAsia" w:asciiTheme="majorEastAsia" w:hAnsiTheme="majorEastAsia" w:eastAsiaTheme="majorEastAsia"/>
                <w:szCs w:val="21"/>
              </w:rPr>
              <w:t>管控风险</w:t>
            </w:r>
            <w:r>
              <w:rPr>
                <w:rFonts w:hint="eastAsia" w:asciiTheme="majorEastAsia" w:hAnsiTheme="majorEastAsia" w:eastAsiaTheme="majorEastAsia"/>
                <w:szCs w:val="21"/>
                <w:lang w:eastAsia="zh-CN"/>
              </w:rPr>
              <w:t>内容</w:t>
            </w:r>
            <w:r>
              <w:rPr>
                <w:rFonts w:hint="eastAsia" w:asciiTheme="majorEastAsia" w:hAnsiTheme="majorEastAsia" w:eastAsiaTheme="majorEastAsia"/>
                <w:szCs w:val="21"/>
              </w:rPr>
              <w:t>的，每人次扣</w:t>
            </w:r>
            <w:r>
              <w:rPr>
                <w:rFonts w:hint="eastAsia" w:asciiTheme="majorEastAsia" w:hAnsiTheme="majorEastAsia" w:eastAsiaTheme="majorEastAsia"/>
                <w:szCs w:val="21"/>
                <w:lang w:val="en-US" w:eastAsia="zh-CN"/>
              </w:rPr>
              <w:t>5</w:t>
            </w:r>
            <w:r>
              <w:rPr>
                <w:rFonts w:hint="eastAsia" w:asciiTheme="majorEastAsia" w:hAnsiTheme="majorEastAsia" w:eastAsiaTheme="majorEastAsia"/>
                <w:szCs w:val="21"/>
              </w:rPr>
              <w:t>分。</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b/>
                <w:bCs/>
                <w:szCs w:val="21"/>
              </w:rPr>
            </w:pPr>
            <w:r>
              <w:rPr>
                <w:rFonts w:hint="eastAsia" w:asciiTheme="majorEastAsia" w:hAnsiTheme="majorEastAsia" w:eastAsiaTheme="majorEastAsia"/>
                <w:b/>
                <w:bCs/>
                <w:szCs w:val="21"/>
              </w:rPr>
              <w:t>否决项：</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根据相关记录文件，抽查10%相关岗位人员,5人及以上未掌握本岗位应管控风险及相关控制措施的，验收评定不予通过。</w:t>
            </w:r>
          </w:p>
        </w:tc>
        <w:tc>
          <w:tcPr>
            <w:tcW w:w="2850" w:type="dxa"/>
          </w:tcPr>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b/>
                <w:szCs w:val="21"/>
              </w:rPr>
            </w:pPr>
            <w:r>
              <w:rPr>
                <w:rFonts w:asciiTheme="majorEastAsia" w:hAnsiTheme="majorEastAsia" w:eastAsiaTheme="majorEastAsia"/>
                <w:b/>
                <w:szCs w:val="21"/>
              </w:rPr>
              <w:t>查</w:t>
            </w:r>
            <w:r>
              <w:rPr>
                <w:rFonts w:hint="eastAsia" w:asciiTheme="majorEastAsia" w:hAnsiTheme="majorEastAsia" w:eastAsiaTheme="majorEastAsia"/>
                <w:b/>
                <w:szCs w:val="21"/>
              </w:rPr>
              <w:t>资料、查信息系统：</w:t>
            </w:r>
          </w:p>
          <w:p>
            <w:pPr>
              <w:keepNext w:val="0"/>
              <w:keepLines w:val="0"/>
              <w:pageBreakBefore w:val="0"/>
              <w:widowControl/>
              <w:kinsoku/>
              <w:overflowPunct/>
              <w:bidi w:val="0"/>
              <w:adjustRightInd w:val="0"/>
              <w:snapToGrid w:val="0"/>
              <w:spacing w:line="360" w:lineRule="exact"/>
              <w:ind w:right="0" w:rightChars="0"/>
              <w:textAlignment w:val="auto"/>
              <w:rPr>
                <w:rFonts w:hint="eastAsia" w:asciiTheme="majorEastAsia" w:hAnsiTheme="majorEastAsia" w:eastAsiaTheme="majorEastAsia"/>
                <w:szCs w:val="21"/>
              </w:rPr>
            </w:pPr>
            <w:r>
              <w:rPr>
                <w:rFonts w:hint="eastAsia" w:asciiTheme="majorEastAsia" w:hAnsiTheme="majorEastAsia" w:eastAsiaTheme="majorEastAsia"/>
                <w:szCs w:val="21"/>
              </w:rPr>
              <w:t>工作危害分析记录</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rPr>
              <w:t>安全检查表分析记录</w:t>
            </w:r>
            <w:r>
              <w:rPr>
                <w:rFonts w:hint="eastAsia" w:asciiTheme="majorEastAsia" w:hAnsiTheme="majorEastAsia" w:eastAsiaTheme="majorEastAsia"/>
                <w:szCs w:val="21"/>
                <w:lang w:eastAsia="zh-CN"/>
              </w:rPr>
              <w:t>等资料。</w:t>
            </w:r>
          </w:p>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b/>
                <w:szCs w:val="21"/>
              </w:rPr>
            </w:pPr>
            <w:r>
              <w:rPr>
                <w:rFonts w:hint="eastAsia" w:asciiTheme="majorEastAsia" w:hAnsiTheme="majorEastAsia" w:eastAsiaTheme="majorEastAsia"/>
                <w:b/>
                <w:szCs w:val="21"/>
              </w:rPr>
              <w:t>询问：</w:t>
            </w:r>
          </w:p>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企业主要负责人、部门负责人、岗位人员是否清楚应管控的风险及相关控制措施。</w:t>
            </w:r>
          </w:p>
          <w:p>
            <w:pPr>
              <w:keepNext w:val="0"/>
              <w:keepLines w:val="0"/>
              <w:pageBreakBefore w:val="0"/>
              <w:widowControl/>
              <w:kinsoku/>
              <w:overflowPunct/>
              <w:bidi w:val="0"/>
              <w:adjustRightInd w:val="0"/>
              <w:snapToGrid w:val="0"/>
              <w:spacing w:line="360" w:lineRule="exact"/>
              <w:ind w:right="0" w:rightChars="0"/>
              <w:textAlignment w:val="auto"/>
              <w:rPr>
                <w:szCs w:val="20"/>
              </w:rPr>
            </w:pPr>
          </w:p>
        </w:tc>
        <w:tc>
          <w:tcPr>
            <w:tcW w:w="1615" w:type="dxa"/>
            <w:vAlign w:val="center"/>
          </w:tcPr>
          <w:p>
            <w:pPr>
              <w:keepNext w:val="0"/>
              <w:keepLines w:val="0"/>
              <w:pageBreakBefore w:val="0"/>
              <w:widowControl/>
              <w:kinsoku/>
              <w:overflowPunct/>
              <w:bidi w:val="0"/>
              <w:adjustRightInd w:val="0"/>
              <w:snapToGrid w:val="0"/>
              <w:spacing w:line="360" w:lineRule="exact"/>
              <w:ind w:right="0" w:rightChars="0"/>
              <w:jc w:val="center"/>
              <w:textAlignment w:val="auto"/>
              <w:rPr>
                <w:rFonts w:asciiTheme="majorEastAsia" w:hAnsiTheme="majorEastAsia" w:eastAsiaTheme="majorEastAsia"/>
                <w:szCs w:val="21"/>
              </w:rPr>
            </w:pPr>
          </w:p>
        </w:tc>
        <w:tc>
          <w:tcPr>
            <w:tcW w:w="865" w:type="dxa"/>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0" w:hRule="atLeast"/>
        </w:trPr>
        <w:tc>
          <w:tcPr>
            <w:tcW w:w="676" w:type="dxa"/>
            <w:vMerge w:val="continue"/>
            <w:vAlign w:val="center"/>
          </w:tcPr>
          <w:p>
            <w:pPr>
              <w:keepNext w:val="0"/>
              <w:keepLines w:val="0"/>
              <w:pageBreakBefore w:val="0"/>
              <w:kinsoku/>
              <w:overflowPunct/>
              <w:bidi w:val="0"/>
              <w:adjustRightInd w:val="0"/>
              <w:snapToGrid w:val="0"/>
              <w:spacing w:line="360" w:lineRule="exact"/>
              <w:ind w:right="0" w:rightChars="0"/>
              <w:jc w:val="center"/>
              <w:textAlignment w:val="auto"/>
              <w:rPr>
                <w:rFonts w:asciiTheme="majorEastAsia" w:hAnsiTheme="majorEastAsia" w:eastAsiaTheme="majorEastAsia"/>
                <w:szCs w:val="21"/>
              </w:rPr>
            </w:pPr>
          </w:p>
        </w:tc>
        <w:tc>
          <w:tcPr>
            <w:tcW w:w="1499" w:type="dxa"/>
            <w:vAlign w:val="center"/>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风险分级管控清单（30分）</w:t>
            </w:r>
          </w:p>
        </w:tc>
        <w:tc>
          <w:tcPr>
            <w:tcW w:w="2792" w:type="dxa"/>
            <w:vAlign w:val="center"/>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1、企业应编制风险分级管控清单，清单应由企业组织相关部门、岗位人员按程序评审，并由企业主要负责人审定发布。</w:t>
            </w:r>
          </w:p>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2、风险分级管控清单的形式、内容应符合相关地方标准要求。</w:t>
            </w:r>
          </w:p>
        </w:tc>
        <w:tc>
          <w:tcPr>
            <w:tcW w:w="3877" w:type="dxa"/>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1、未建立作业活动类风险分级管控清单，扣5分。</w:t>
            </w:r>
          </w:p>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2、未建立设备设施类风险分级管控清单，扣5分。</w:t>
            </w:r>
          </w:p>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2、未建立职业病危害风险分级管控清单，扣5分。</w:t>
            </w:r>
          </w:p>
          <w:p>
            <w:pPr>
              <w:keepNext w:val="0"/>
              <w:keepLines w:val="0"/>
              <w:pageBreakBefore w:val="0"/>
              <w:widowControl/>
              <w:kinsoku/>
              <w:overflowPunct/>
              <w:bidi w:val="0"/>
              <w:adjustRightInd w:val="0"/>
              <w:snapToGrid w:val="0"/>
              <w:spacing w:line="360" w:lineRule="exact"/>
              <w:ind w:right="0" w:rightChars="0"/>
              <w:textAlignment w:val="auto"/>
              <w:rPr>
                <w:rFonts w:hint="eastAsia" w:asciiTheme="majorEastAsia" w:hAnsiTheme="majorEastAsia" w:eastAsiaTheme="majorEastAsia"/>
                <w:szCs w:val="21"/>
              </w:rPr>
            </w:pPr>
            <w:r>
              <w:rPr>
                <w:rFonts w:hint="eastAsia" w:asciiTheme="majorEastAsia" w:hAnsiTheme="majorEastAsia" w:eastAsiaTheme="majorEastAsia"/>
                <w:szCs w:val="21"/>
              </w:rPr>
              <w:t>3、风险分级管控清单中信息不符合通则、细则等地方标准要求的，每项扣2分。</w:t>
            </w:r>
          </w:p>
          <w:p>
            <w:pPr>
              <w:keepNext w:val="0"/>
              <w:keepLines w:val="0"/>
              <w:pageBreakBefore w:val="0"/>
              <w:widowControl/>
              <w:kinsoku/>
              <w:overflowPunct/>
              <w:bidi w:val="0"/>
              <w:adjustRightInd w:val="0"/>
              <w:snapToGrid w:val="0"/>
              <w:spacing w:line="360" w:lineRule="exact"/>
              <w:ind w:right="0" w:rightChars="0"/>
              <w:textAlignment w:val="auto"/>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4、</w:t>
            </w:r>
            <w:r>
              <w:rPr>
                <w:rFonts w:hint="eastAsia" w:asciiTheme="majorEastAsia" w:hAnsiTheme="majorEastAsia" w:eastAsiaTheme="majorEastAsia"/>
                <w:szCs w:val="21"/>
              </w:rPr>
              <w:t>风险分级管控清单</w:t>
            </w:r>
            <w:r>
              <w:rPr>
                <w:rFonts w:hint="eastAsia" w:asciiTheme="majorEastAsia" w:hAnsiTheme="majorEastAsia" w:eastAsiaTheme="majorEastAsia"/>
                <w:szCs w:val="21"/>
                <w:lang w:eastAsia="zh-CN"/>
              </w:rPr>
              <w:t>未经</w:t>
            </w:r>
            <w:r>
              <w:rPr>
                <w:rFonts w:hint="eastAsia" w:asciiTheme="majorEastAsia" w:hAnsiTheme="majorEastAsia" w:eastAsiaTheme="majorEastAsia"/>
                <w:szCs w:val="21"/>
              </w:rPr>
              <w:t>企业主要负责人审定发布</w:t>
            </w:r>
            <w:r>
              <w:rPr>
                <w:rFonts w:hint="eastAsia" w:asciiTheme="majorEastAsia" w:hAnsiTheme="majorEastAsia" w:eastAsiaTheme="majorEastAsia"/>
                <w:szCs w:val="21"/>
                <w:lang w:eastAsia="zh-CN"/>
              </w:rPr>
              <w:t>的，</w:t>
            </w:r>
            <w:r>
              <w:rPr>
                <w:rFonts w:hint="eastAsia" w:asciiTheme="majorEastAsia" w:hAnsiTheme="majorEastAsia" w:eastAsiaTheme="majorEastAsia"/>
                <w:szCs w:val="21"/>
              </w:rPr>
              <w:t>每项扣2分。</w:t>
            </w:r>
          </w:p>
        </w:tc>
        <w:tc>
          <w:tcPr>
            <w:tcW w:w="2850" w:type="dxa"/>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b/>
                <w:szCs w:val="21"/>
              </w:rPr>
            </w:pPr>
            <w:r>
              <w:rPr>
                <w:rFonts w:hint="eastAsia" w:asciiTheme="majorEastAsia" w:hAnsiTheme="majorEastAsia" w:eastAsiaTheme="majorEastAsia"/>
                <w:b/>
                <w:szCs w:val="21"/>
              </w:rPr>
              <w:t>查资料、查信息系统：</w:t>
            </w:r>
          </w:p>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1、作业活动类风险分级管控清单。</w:t>
            </w:r>
          </w:p>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2、设备设施类风险分级管控清单。</w:t>
            </w:r>
          </w:p>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3、职业病危害风险分级管控清单。</w:t>
            </w:r>
          </w:p>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p>
        </w:tc>
        <w:tc>
          <w:tcPr>
            <w:tcW w:w="1615" w:type="dxa"/>
            <w:vAlign w:val="center"/>
          </w:tcPr>
          <w:p>
            <w:pPr>
              <w:keepNext w:val="0"/>
              <w:keepLines w:val="0"/>
              <w:pageBreakBefore w:val="0"/>
              <w:kinsoku/>
              <w:overflowPunct/>
              <w:bidi w:val="0"/>
              <w:spacing w:line="360" w:lineRule="exact"/>
              <w:ind w:right="0" w:rightChars="0"/>
              <w:jc w:val="center"/>
              <w:textAlignment w:val="auto"/>
              <w:rPr>
                <w:rFonts w:asciiTheme="majorEastAsia" w:hAnsiTheme="majorEastAsia" w:eastAsiaTheme="majorEastAsia"/>
                <w:szCs w:val="21"/>
              </w:rPr>
            </w:pPr>
          </w:p>
        </w:tc>
        <w:tc>
          <w:tcPr>
            <w:tcW w:w="865" w:type="dxa"/>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Merge w:val="continue"/>
            <w:vAlign w:val="center"/>
          </w:tcPr>
          <w:p>
            <w:pPr>
              <w:keepNext w:val="0"/>
              <w:keepLines w:val="0"/>
              <w:pageBreakBefore w:val="0"/>
              <w:kinsoku/>
              <w:overflowPunct/>
              <w:bidi w:val="0"/>
              <w:adjustRightInd w:val="0"/>
              <w:snapToGrid w:val="0"/>
              <w:spacing w:line="360" w:lineRule="exact"/>
              <w:ind w:right="0" w:rightChars="0"/>
              <w:jc w:val="center"/>
              <w:textAlignment w:val="auto"/>
              <w:rPr>
                <w:rFonts w:asciiTheme="majorEastAsia" w:hAnsiTheme="majorEastAsia" w:eastAsiaTheme="majorEastAsia"/>
                <w:szCs w:val="21"/>
              </w:rPr>
            </w:pPr>
          </w:p>
        </w:tc>
        <w:tc>
          <w:tcPr>
            <w:tcW w:w="1499" w:type="dxa"/>
            <w:vAlign w:val="center"/>
          </w:tcPr>
          <w:p>
            <w:pPr>
              <w:keepNext w:val="0"/>
              <w:keepLines w:val="0"/>
              <w:pageBreakBefore w:val="0"/>
              <w:kinsoku/>
              <w:overflowPunct/>
              <w:bidi w:val="0"/>
              <w:adjustRightInd w:val="0"/>
              <w:snapToGrid w:val="0"/>
              <w:spacing w:line="360" w:lineRule="exact"/>
              <w:ind w:right="0" w:rightChars="0"/>
              <w:textAlignment w:val="auto"/>
              <w:rPr>
                <w:rFonts w:hint="eastAsia" w:asciiTheme="majorEastAsia" w:hAnsiTheme="majorEastAsia" w:eastAsiaTheme="majorEastAsia"/>
                <w:szCs w:val="21"/>
              </w:rPr>
            </w:pPr>
            <w:r>
              <w:rPr>
                <w:rFonts w:hint="eastAsia" w:asciiTheme="majorEastAsia" w:hAnsiTheme="majorEastAsia" w:eastAsiaTheme="majorEastAsia"/>
                <w:szCs w:val="21"/>
              </w:rPr>
              <w:t>风险告知</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（20分）</w:t>
            </w:r>
          </w:p>
        </w:tc>
        <w:tc>
          <w:tcPr>
            <w:tcW w:w="2792" w:type="dxa"/>
            <w:vAlign w:val="center"/>
          </w:tcPr>
          <w:p>
            <w:pPr>
              <w:keepNext w:val="0"/>
              <w:keepLines w:val="0"/>
              <w:pageBreakBefore w:val="0"/>
              <w:widowControl/>
              <w:kinsoku/>
              <w:overflowPunct/>
              <w:bidi w:val="0"/>
              <w:adjustRightInd w:val="0"/>
              <w:snapToGrid w:val="0"/>
              <w:spacing w:line="360" w:lineRule="exact"/>
              <w:ind w:right="0" w:rightChars="0"/>
              <w:textAlignment w:val="auto"/>
              <w:rPr>
                <w:szCs w:val="20"/>
              </w:rPr>
            </w:pPr>
            <w:r>
              <w:rPr>
                <w:rFonts w:hint="eastAsia" w:asciiTheme="majorEastAsia" w:hAnsiTheme="majorEastAsia" w:eastAsiaTheme="majorEastAsia"/>
                <w:szCs w:val="21"/>
              </w:rPr>
              <w:t>1、企业</w:t>
            </w:r>
            <w:r>
              <w:rPr>
                <w:rFonts w:asciiTheme="majorEastAsia" w:hAnsiTheme="majorEastAsia" w:eastAsiaTheme="majorEastAsia"/>
                <w:szCs w:val="21"/>
              </w:rPr>
              <w:t>应</w:t>
            </w:r>
            <w:r>
              <w:rPr>
                <w:rFonts w:hint="eastAsia" w:asciiTheme="majorEastAsia" w:hAnsiTheme="majorEastAsia" w:eastAsiaTheme="majorEastAsia"/>
                <w:szCs w:val="21"/>
              </w:rPr>
              <w:t>通过有效方式告知企业</w:t>
            </w:r>
            <w:r>
              <w:rPr>
                <w:rFonts w:hint="eastAsia" w:ascii="Calibri" w:hAnsi="Calibri" w:eastAsia="宋体" w:cs="Times New Roman"/>
                <w:szCs w:val="20"/>
              </w:rPr>
              <w:t>主要风险相关内容。</w:t>
            </w:r>
          </w:p>
          <w:p>
            <w:pPr>
              <w:keepNext w:val="0"/>
              <w:keepLines w:val="0"/>
              <w:pageBreakBefore w:val="0"/>
              <w:widowControl/>
              <w:kinsoku/>
              <w:overflowPunct/>
              <w:bidi w:val="0"/>
              <w:adjustRightInd w:val="0"/>
              <w:snapToGrid w:val="0"/>
              <w:spacing w:line="360" w:lineRule="exact"/>
              <w:ind w:right="0" w:rightChars="0"/>
              <w:textAlignment w:val="auto"/>
              <w:rPr>
                <w:rFonts w:ascii="Calibri" w:hAnsi="Calibri" w:eastAsia="宋体" w:cs="Times New Roman"/>
                <w:szCs w:val="20"/>
              </w:rPr>
            </w:pPr>
            <w:r>
              <w:rPr>
                <w:rFonts w:hint="eastAsia"/>
                <w:szCs w:val="20"/>
              </w:rPr>
              <w:t>2、</w:t>
            </w:r>
            <w:r>
              <w:rPr>
                <w:rFonts w:hint="eastAsia" w:ascii="Calibri" w:hAnsi="Calibri" w:eastAsia="宋体" w:cs="Times New Roman"/>
                <w:szCs w:val="20"/>
              </w:rPr>
              <w:t>对存在重大风险和重大职业病危害风险的工作场所和岗位，要设置明显警示标志。</w:t>
            </w:r>
          </w:p>
          <w:p>
            <w:pPr>
              <w:keepNext w:val="0"/>
              <w:keepLines w:val="0"/>
              <w:pageBreakBefore w:val="0"/>
              <w:widowControl/>
              <w:kinsoku/>
              <w:overflowPunct/>
              <w:bidi w:val="0"/>
              <w:adjustRightInd w:val="0"/>
              <w:snapToGrid w:val="0"/>
              <w:spacing w:line="360" w:lineRule="exact"/>
              <w:ind w:right="0" w:rightChars="0"/>
              <w:textAlignment w:val="auto"/>
              <w:rPr>
                <w:rFonts w:ascii="Calibri" w:hAnsi="Calibri" w:eastAsia="宋体" w:cs="Times New Roman"/>
                <w:szCs w:val="20"/>
              </w:rPr>
            </w:pPr>
            <w:r>
              <w:rPr>
                <w:rFonts w:hint="eastAsia" w:ascii="Calibri" w:hAnsi="Calibri" w:eastAsia="宋体" w:cs="Times New Roman"/>
                <w:szCs w:val="20"/>
              </w:rPr>
              <w:t>3、应组织各层级、各岗位进行风险评价结果的告知培训。</w:t>
            </w:r>
          </w:p>
        </w:tc>
        <w:tc>
          <w:tcPr>
            <w:tcW w:w="3877" w:type="dxa"/>
          </w:tcPr>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1、未采取有效方式告知风险的，风险告知</w:t>
            </w:r>
            <w:r>
              <w:rPr>
                <w:rFonts w:hint="eastAsia" w:ascii="Calibri" w:hAnsi="Calibri" w:eastAsia="宋体" w:cs="Times New Roman"/>
                <w:szCs w:val="20"/>
              </w:rPr>
              <w:t>内容</w:t>
            </w:r>
            <w:r>
              <w:rPr>
                <w:rFonts w:hint="eastAsia" w:asciiTheme="majorEastAsia" w:hAnsiTheme="majorEastAsia" w:eastAsiaTheme="majorEastAsia"/>
                <w:szCs w:val="21"/>
              </w:rPr>
              <w:t>不符合要求的，每少一项扣2分。</w:t>
            </w:r>
          </w:p>
          <w:p>
            <w:pPr>
              <w:keepNext w:val="0"/>
              <w:keepLines w:val="0"/>
              <w:pageBreakBefore w:val="0"/>
              <w:kinsoku/>
              <w:overflowPunct/>
              <w:bidi w:val="0"/>
              <w:adjustRightInd w:val="0"/>
              <w:snapToGrid w:val="0"/>
              <w:spacing w:line="360" w:lineRule="exact"/>
              <w:ind w:right="0" w:rightChars="0"/>
              <w:textAlignment w:val="auto"/>
              <w:rPr>
                <w:rFonts w:ascii="Calibri" w:hAnsi="Calibri" w:eastAsia="宋体" w:cs="Times New Roman"/>
                <w:szCs w:val="20"/>
              </w:rPr>
            </w:pPr>
            <w:r>
              <w:rPr>
                <w:rFonts w:hint="eastAsia" w:ascii="Calibri" w:hAnsi="Calibri" w:eastAsia="宋体" w:cs="Times New Roman"/>
                <w:szCs w:val="20"/>
              </w:rPr>
              <w:t>2、对存在重大安全和重大职业病危害风险的工作场所和区域，未设置明显的警示标志，每处扣</w:t>
            </w:r>
            <w:r>
              <w:rPr>
                <w:rFonts w:hint="eastAsia" w:ascii="Calibri" w:hAnsi="Calibri" w:eastAsia="宋体" w:cs="Times New Roman"/>
                <w:szCs w:val="20"/>
                <w:lang w:val="en-US" w:eastAsia="zh-CN"/>
              </w:rPr>
              <w:t>5</w:t>
            </w:r>
            <w:r>
              <w:rPr>
                <w:rFonts w:hint="eastAsia" w:ascii="Calibri" w:hAnsi="Calibri" w:eastAsia="宋体" w:cs="Times New Roman"/>
                <w:szCs w:val="20"/>
              </w:rPr>
              <w:t>分。</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p>
        </w:tc>
        <w:tc>
          <w:tcPr>
            <w:tcW w:w="2850" w:type="dxa"/>
          </w:tcPr>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b/>
                <w:szCs w:val="21"/>
              </w:rPr>
            </w:pPr>
            <w:r>
              <w:rPr>
                <w:rFonts w:hint="eastAsia" w:asciiTheme="majorEastAsia" w:hAnsiTheme="majorEastAsia" w:eastAsiaTheme="majorEastAsia"/>
                <w:b/>
                <w:szCs w:val="21"/>
              </w:rPr>
              <w:t>查文件：</w:t>
            </w:r>
          </w:p>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1、风险告知</w:t>
            </w:r>
            <w:r>
              <w:rPr>
                <w:rFonts w:hint="eastAsia" w:asciiTheme="majorEastAsia" w:hAnsiTheme="majorEastAsia" w:eastAsiaTheme="majorEastAsia"/>
                <w:szCs w:val="21"/>
                <w:lang w:eastAsia="zh-CN"/>
              </w:rPr>
              <w:t>相关文件</w:t>
            </w:r>
          </w:p>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2、告知方式及内容</w:t>
            </w:r>
          </w:p>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2、培训记录</w:t>
            </w:r>
            <w:r>
              <w:rPr>
                <w:rFonts w:hint="eastAsia" w:asciiTheme="majorEastAsia" w:hAnsiTheme="majorEastAsia" w:eastAsiaTheme="majorEastAsia"/>
                <w:szCs w:val="21"/>
                <w:lang w:eastAsia="zh-CN"/>
              </w:rPr>
              <w:t>等资料</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b/>
                <w:szCs w:val="21"/>
              </w:rPr>
            </w:pPr>
            <w:r>
              <w:rPr>
                <w:rFonts w:hint="eastAsia" w:asciiTheme="majorEastAsia" w:hAnsiTheme="majorEastAsia" w:eastAsiaTheme="majorEastAsia"/>
                <w:b/>
                <w:szCs w:val="21"/>
              </w:rPr>
              <w:t>现场检查：</w:t>
            </w:r>
          </w:p>
          <w:p>
            <w:pPr>
              <w:keepNext w:val="0"/>
              <w:keepLines w:val="0"/>
              <w:pageBreakBefore w:val="0"/>
              <w:widowControl/>
              <w:kinsoku/>
              <w:overflowPunct/>
              <w:bidi w:val="0"/>
              <w:adjustRightInd w:val="0"/>
              <w:snapToGrid w:val="0"/>
              <w:spacing w:line="360" w:lineRule="exact"/>
              <w:ind w:right="0" w:rightChars="0" w:firstLine="210" w:firstLineChars="100"/>
              <w:textAlignment w:val="auto"/>
              <w:rPr>
                <w:rFonts w:ascii="Calibri" w:hAnsi="Calibri" w:eastAsia="宋体" w:cs="Times New Roman"/>
                <w:szCs w:val="20"/>
              </w:rPr>
            </w:pPr>
            <w:r>
              <w:rPr>
                <w:rFonts w:hint="eastAsia" w:asciiTheme="majorEastAsia" w:hAnsiTheme="majorEastAsia" w:eastAsiaTheme="majorEastAsia"/>
                <w:szCs w:val="21"/>
              </w:rPr>
              <w:t>安全风险和职业病危害风险公告栏及安全警示标志</w:t>
            </w:r>
            <w:r>
              <w:rPr>
                <w:rFonts w:hint="eastAsia" w:ascii="Calibri" w:hAnsi="Calibri" w:eastAsia="宋体" w:cs="Times New Roman"/>
                <w:szCs w:val="20"/>
              </w:rPr>
              <w:t>、监测或预警设施。</w:t>
            </w:r>
          </w:p>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p>
        </w:tc>
        <w:tc>
          <w:tcPr>
            <w:tcW w:w="1615" w:type="dxa"/>
            <w:vAlign w:val="center"/>
          </w:tcPr>
          <w:p>
            <w:pPr>
              <w:keepNext w:val="0"/>
              <w:keepLines w:val="0"/>
              <w:pageBreakBefore w:val="0"/>
              <w:widowControl/>
              <w:kinsoku/>
              <w:overflowPunct/>
              <w:bidi w:val="0"/>
              <w:adjustRightInd w:val="0"/>
              <w:snapToGrid w:val="0"/>
              <w:spacing w:line="360" w:lineRule="exact"/>
              <w:ind w:right="0" w:rightChars="0"/>
              <w:jc w:val="center"/>
              <w:textAlignment w:val="auto"/>
              <w:rPr>
                <w:rFonts w:asciiTheme="majorEastAsia" w:hAnsiTheme="majorEastAsia" w:eastAsiaTheme="majorEastAsia"/>
                <w:szCs w:val="21"/>
              </w:rPr>
            </w:pPr>
          </w:p>
        </w:tc>
        <w:tc>
          <w:tcPr>
            <w:tcW w:w="865" w:type="dxa"/>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Merge w:val="restart"/>
            <w:vAlign w:val="center"/>
          </w:tcPr>
          <w:p>
            <w:pPr>
              <w:keepNext w:val="0"/>
              <w:keepLines w:val="0"/>
              <w:pageBreakBefore w:val="0"/>
              <w:widowControl/>
              <w:kinsoku/>
              <w:overflowPunct/>
              <w:bidi w:val="0"/>
              <w:adjustRightInd w:val="0"/>
              <w:snapToGrid w:val="0"/>
              <w:spacing w:line="360" w:lineRule="exact"/>
              <w:ind w:right="0" w:rightChars="0"/>
              <w:jc w:val="center"/>
              <w:textAlignment w:val="auto"/>
              <w:rPr>
                <w:rFonts w:asciiTheme="majorEastAsia" w:hAnsiTheme="majorEastAsia" w:eastAsiaTheme="majorEastAsia"/>
                <w:szCs w:val="21"/>
              </w:rPr>
            </w:pPr>
            <w:r>
              <w:rPr>
                <w:rFonts w:hint="eastAsia" w:asciiTheme="majorEastAsia" w:hAnsiTheme="majorEastAsia" w:eastAsiaTheme="majorEastAsia"/>
                <w:b/>
                <w:szCs w:val="21"/>
              </w:rPr>
              <w:t>隐患排查治理体系(270分)</w:t>
            </w:r>
          </w:p>
        </w:tc>
        <w:tc>
          <w:tcPr>
            <w:tcW w:w="1499" w:type="dxa"/>
            <w:vAlign w:val="center"/>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编制隐患排查清单（50）</w:t>
            </w:r>
          </w:p>
        </w:tc>
        <w:tc>
          <w:tcPr>
            <w:tcW w:w="2792" w:type="dxa"/>
            <w:vAlign w:val="center"/>
          </w:tcPr>
          <w:p>
            <w:pPr>
              <w:keepNext w:val="0"/>
              <w:keepLines w:val="0"/>
              <w:pageBreakBefore w:val="0"/>
              <w:widowControl/>
              <w:kinsoku/>
              <w:overflowPunct/>
              <w:bidi w:val="0"/>
              <w:adjustRightInd w:val="0"/>
              <w:snapToGrid w:val="0"/>
              <w:spacing w:line="360" w:lineRule="exact"/>
              <w:ind w:right="0" w:rightChars="0"/>
              <w:textAlignment w:val="auto"/>
              <w:rPr>
                <w:rFonts w:ascii="宋体" w:hAnsi="宋体" w:eastAsia="宋体" w:cs="Times New Roman"/>
                <w:szCs w:val="21"/>
              </w:rPr>
            </w:pPr>
            <w:r>
              <w:rPr>
                <w:rFonts w:hint="eastAsia" w:ascii="宋体" w:hAnsi="宋体" w:eastAsia="宋体" w:cs="Times New Roman"/>
                <w:szCs w:val="21"/>
              </w:rPr>
              <w:t>1、生产现场类隐患排查清单内的排查内容及标准应包含风险分级管控清单中各风险点、危险源</w:t>
            </w:r>
            <w:r>
              <w:rPr>
                <w:rFonts w:hint="eastAsia" w:ascii="宋体" w:hAnsi="宋体" w:eastAsia="宋体" w:cs="Times New Roman"/>
                <w:szCs w:val="21"/>
                <w:lang w:eastAsia="zh-CN"/>
              </w:rPr>
              <w:t>及</w:t>
            </w:r>
            <w:r>
              <w:rPr>
                <w:rFonts w:hint="eastAsia" w:ascii="宋体" w:hAnsi="宋体" w:eastAsia="宋体" w:cs="Times New Roman"/>
                <w:szCs w:val="21"/>
              </w:rPr>
              <w:t>控制措施。</w:t>
            </w:r>
          </w:p>
          <w:p>
            <w:pPr>
              <w:keepNext w:val="0"/>
              <w:keepLines w:val="0"/>
              <w:pageBreakBefore w:val="0"/>
              <w:widowControl/>
              <w:kinsoku/>
              <w:overflowPunct/>
              <w:bidi w:val="0"/>
              <w:adjustRightInd w:val="0"/>
              <w:snapToGrid w:val="0"/>
              <w:spacing w:line="360" w:lineRule="exact"/>
              <w:ind w:right="0" w:rightChars="0" w:firstLine="210" w:firstLineChars="100"/>
              <w:textAlignment w:val="auto"/>
              <w:rPr>
                <w:rFonts w:ascii="宋体" w:hAnsi="宋体" w:eastAsia="宋体" w:cs="Times New Roman"/>
                <w:szCs w:val="21"/>
              </w:rPr>
            </w:pPr>
            <w:r>
              <w:rPr>
                <w:rFonts w:hint="eastAsia" w:ascii="宋体" w:hAnsi="宋体" w:eastAsia="宋体" w:cs="Times New Roman"/>
                <w:szCs w:val="21"/>
              </w:rPr>
              <w:t>职业病隐患排查清单应参照细则及相应行业实施指南中附录内容编制。</w:t>
            </w:r>
          </w:p>
          <w:p>
            <w:pPr>
              <w:pStyle w:val="36"/>
              <w:keepNext w:val="0"/>
              <w:keepLines w:val="0"/>
              <w:pageBreakBefore w:val="0"/>
              <w:numPr>
                <w:ilvl w:val="0"/>
                <w:numId w:val="7"/>
              </w:numPr>
              <w:kinsoku/>
              <w:overflowPunct/>
              <w:bidi w:val="0"/>
              <w:adjustRightInd w:val="0"/>
              <w:snapToGrid w:val="0"/>
              <w:spacing w:line="360" w:lineRule="exact"/>
              <w:ind w:left="0" w:right="0" w:rightChars="0"/>
              <w:contextualSpacing w:val="0"/>
              <w:jc w:val="both"/>
              <w:textAlignment w:val="auto"/>
              <w:rPr>
                <w:rFonts w:ascii="宋体" w:hAnsi="宋体" w:eastAsia="宋体"/>
                <w:kern w:val="2"/>
                <w:sz w:val="21"/>
                <w:szCs w:val="21"/>
                <w:lang w:eastAsia="zh-CN" w:bidi="ar-SA"/>
              </w:rPr>
            </w:pPr>
            <w:r>
              <w:rPr>
                <w:rFonts w:hint="eastAsia" w:ascii="宋体" w:hAnsi="宋体" w:eastAsia="宋体"/>
                <w:kern w:val="2"/>
                <w:sz w:val="21"/>
                <w:szCs w:val="21"/>
                <w:lang w:eastAsia="zh-CN" w:bidi="ar-SA"/>
              </w:rPr>
              <w:t>2、基础管理类隐患排查清单内的排查项目及标准应符合“两个体系”相关地方标准要求。</w:t>
            </w:r>
            <w:r>
              <w:rPr>
                <w:rFonts w:ascii="宋体" w:hAnsi="宋体" w:eastAsia="宋体"/>
                <w:kern w:val="2"/>
                <w:sz w:val="21"/>
                <w:szCs w:val="21"/>
                <w:lang w:eastAsia="zh-CN" w:bidi="ar-SA"/>
              </w:rPr>
              <w:t xml:space="preserve"> </w:t>
            </w:r>
          </w:p>
          <w:p>
            <w:pPr>
              <w:pStyle w:val="36"/>
              <w:keepNext w:val="0"/>
              <w:keepLines w:val="0"/>
              <w:pageBreakBefore w:val="0"/>
              <w:numPr>
                <w:ilvl w:val="0"/>
                <w:numId w:val="7"/>
              </w:numPr>
              <w:kinsoku/>
              <w:overflowPunct/>
              <w:bidi w:val="0"/>
              <w:adjustRightInd w:val="0"/>
              <w:snapToGrid w:val="0"/>
              <w:spacing w:line="360" w:lineRule="exact"/>
              <w:ind w:left="0" w:right="0" w:rightChars="0"/>
              <w:contextualSpacing w:val="0"/>
              <w:jc w:val="both"/>
              <w:textAlignment w:val="auto"/>
              <w:rPr>
                <w:rFonts w:ascii="宋体" w:hAnsi="宋体" w:eastAsia="宋体"/>
                <w:kern w:val="2"/>
                <w:sz w:val="21"/>
                <w:szCs w:val="21"/>
                <w:lang w:eastAsia="zh-CN" w:bidi="ar-SA"/>
              </w:rPr>
            </w:pPr>
            <w:r>
              <w:rPr>
                <w:rFonts w:hint="eastAsia" w:ascii="宋体" w:hAnsi="宋体" w:eastAsia="宋体"/>
                <w:kern w:val="2"/>
                <w:sz w:val="21"/>
                <w:szCs w:val="21"/>
                <w:lang w:eastAsia="zh-CN" w:bidi="ar-SA"/>
              </w:rPr>
              <w:t xml:space="preserve">  职业卫生基础管理排查清单应包含《用人单位职业病隐患排查治理体系细则》附录B检查内容及标准。</w:t>
            </w:r>
          </w:p>
          <w:p>
            <w:pPr>
              <w:keepNext w:val="0"/>
              <w:keepLines w:val="0"/>
              <w:pageBreakBefore w:val="0"/>
              <w:widowControl/>
              <w:kinsoku/>
              <w:overflowPunct/>
              <w:bidi w:val="0"/>
              <w:adjustRightInd w:val="0"/>
              <w:snapToGrid w:val="0"/>
              <w:spacing w:line="360" w:lineRule="exact"/>
              <w:ind w:right="0" w:rightChars="0"/>
              <w:textAlignment w:val="auto"/>
              <w:rPr>
                <w:rFonts w:ascii="宋体" w:hAnsi="宋体" w:eastAsia="宋体" w:cs="Times New Roman"/>
                <w:szCs w:val="21"/>
              </w:rPr>
            </w:pPr>
            <w:r>
              <w:rPr>
                <w:rFonts w:hint="eastAsia" w:ascii="宋体" w:hAnsi="宋体" w:eastAsia="宋体" w:cs="Times New Roman"/>
                <w:szCs w:val="21"/>
              </w:rPr>
              <w:t>3、排查清单中应明确排查类型、组织级别、排查周期等内容。</w:t>
            </w:r>
          </w:p>
        </w:tc>
        <w:tc>
          <w:tcPr>
            <w:tcW w:w="3877" w:type="dxa"/>
          </w:tcPr>
          <w:p>
            <w:pPr>
              <w:keepNext w:val="0"/>
              <w:keepLines w:val="0"/>
              <w:pageBreakBefore w:val="0"/>
              <w:kinsoku/>
              <w:overflowPunct/>
              <w:bidi w:val="0"/>
              <w:adjustRightInd w:val="0"/>
              <w:snapToGrid w:val="0"/>
              <w:spacing w:line="360" w:lineRule="exact"/>
              <w:ind w:right="0" w:rightChars="0"/>
              <w:textAlignment w:val="auto"/>
              <w:rPr>
                <w:rFonts w:hint="eastAsia" w:asciiTheme="majorEastAsia" w:hAnsiTheme="majorEastAsia" w:eastAsiaTheme="majorEastAsia"/>
                <w:szCs w:val="21"/>
              </w:rPr>
            </w:pPr>
            <w:r>
              <w:rPr>
                <w:rFonts w:hint="eastAsia" w:asciiTheme="majorEastAsia" w:hAnsiTheme="majorEastAsia" w:eastAsiaTheme="majorEastAsia"/>
                <w:szCs w:val="21"/>
              </w:rPr>
              <w:t>1、未建立生产现场类隐患排查清单，扣30分。生产现场类隐患排查清单内排查内容及标准</w:t>
            </w:r>
            <w:r>
              <w:rPr>
                <w:rFonts w:hint="eastAsia" w:asciiTheme="majorEastAsia" w:hAnsiTheme="majorEastAsia" w:eastAsiaTheme="majorEastAsia"/>
                <w:szCs w:val="21"/>
                <w:lang w:eastAsia="zh-CN"/>
              </w:rPr>
              <w:t>未包含</w:t>
            </w:r>
            <w:r>
              <w:rPr>
                <w:rFonts w:hint="eastAsia" w:ascii="宋体" w:hAnsi="宋体" w:eastAsia="宋体" w:cs="Times New Roman"/>
                <w:szCs w:val="21"/>
              </w:rPr>
              <w:t>各风险点、危险源</w:t>
            </w:r>
            <w:r>
              <w:rPr>
                <w:rFonts w:hint="eastAsia" w:ascii="宋体" w:hAnsi="宋体" w:eastAsia="宋体" w:cs="Times New Roman"/>
                <w:szCs w:val="21"/>
                <w:lang w:eastAsia="zh-CN"/>
              </w:rPr>
              <w:t>及</w:t>
            </w:r>
            <w:r>
              <w:rPr>
                <w:rFonts w:hint="eastAsia" w:ascii="宋体" w:hAnsi="宋体" w:eastAsia="宋体" w:cs="Times New Roman"/>
                <w:szCs w:val="21"/>
              </w:rPr>
              <w:t>控制措施</w:t>
            </w:r>
            <w:r>
              <w:rPr>
                <w:rFonts w:hint="eastAsia" w:ascii="宋体" w:hAnsi="宋体" w:eastAsia="宋体" w:cs="Times New Roman"/>
                <w:szCs w:val="21"/>
                <w:lang w:eastAsia="zh-CN"/>
              </w:rPr>
              <w:t>的，</w:t>
            </w:r>
            <w:r>
              <w:rPr>
                <w:rFonts w:hint="eastAsia" w:asciiTheme="majorEastAsia" w:hAnsiTheme="majorEastAsia" w:eastAsiaTheme="majorEastAsia"/>
                <w:szCs w:val="21"/>
                <w:lang w:eastAsia="zh-CN"/>
              </w:rPr>
              <w:t>每</w:t>
            </w:r>
            <w:r>
              <w:rPr>
                <w:rFonts w:hint="eastAsia" w:asciiTheme="majorEastAsia" w:hAnsiTheme="majorEastAsia" w:eastAsiaTheme="majorEastAsia"/>
                <w:szCs w:val="21"/>
              </w:rPr>
              <w:t>项扣2分。</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2</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rPr>
              <w:t>未建立基础管理类隐患排查清单，扣20分。基础管理类隐患排查清单中排查项目不全、排查标准不具体</w:t>
            </w:r>
            <w:r>
              <w:rPr>
                <w:rFonts w:hint="eastAsia" w:asciiTheme="majorEastAsia" w:hAnsiTheme="majorEastAsia" w:eastAsiaTheme="majorEastAsia"/>
                <w:szCs w:val="21"/>
                <w:lang w:eastAsia="zh-CN"/>
              </w:rPr>
              <w:t>的</w:t>
            </w:r>
            <w:r>
              <w:rPr>
                <w:rFonts w:hint="eastAsia" w:asciiTheme="majorEastAsia" w:hAnsiTheme="majorEastAsia" w:eastAsiaTheme="majorEastAsia"/>
                <w:szCs w:val="21"/>
              </w:rPr>
              <w:t>，</w:t>
            </w:r>
            <w:r>
              <w:rPr>
                <w:rFonts w:hint="eastAsia" w:asciiTheme="majorEastAsia" w:hAnsiTheme="majorEastAsia" w:eastAsiaTheme="majorEastAsia"/>
                <w:szCs w:val="21"/>
                <w:lang w:eastAsia="zh-CN"/>
              </w:rPr>
              <w:t>每</w:t>
            </w:r>
            <w:r>
              <w:rPr>
                <w:rFonts w:hint="eastAsia" w:asciiTheme="majorEastAsia" w:hAnsiTheme="majorEastAsia" w:eastAsiaTheme="majorEastAsia"/>
                <w:szCs w:val="21"/>
              </w:rPr>
              <w:t>项扣</w:t>
            </w:r>
            <w:r>
              <w:rPr>
                <w:rFonts w:hint="eastAsia" w:asciiTheme="majorEastAsia" w:hAnsiTheme="majorEastAsia" w:eastAsiaTheme="majorEastAsia"/>
                <w:szCs w:val="21"/>
                <w:lang w:val="en-US" w:eastAsia="zh-CN"/>
              </w:rPr>
              <w:t>2</w:t>
            </w:r>
            <w:r>
              <w:rPr>
                <w:rFonts w:hint="eastAsia" w:asciiTheme="majorEastAsia" w:hAnsiTheme="majorEastAsia" w:eastAsiaTheme="majorEastAsia"/>
                <w:szCs w:val="21"/>
              </w:rPr>
              <w:t>分。</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3、排查类型</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rPr>
              <w:t>组织级别</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rPr>
              <w:t>排查周期不符合要求</w:t>
            </w:r>
            <w:r>
              <w:rPr>
                <w:rFonts w:hint="eastAsia" w:asciiTheme="majorEastAsia" w:hAnsiTheme="majorEastAsia" w:eastAsiaTheme="majorEastAsia"/>
                <w:szCs w:val="21"/>
                <w:lang w:eastAsia="zh-CN"/>
              </w:rPr>
              <w:t>的</w:t>
            </w:r>
            <w:r>
              <w:rPr>
                <w:rFonts w:hint="eastAsia" w:asciiTheme="majorEastAsia" w:hAnsiTheme="majorEastAsia" w:eastAsiaTheme="majorEastAsia"/>
                <w:szCs w:val="21"/>
              </w:rPr>
              <w:t>，</w:t>
            </w:r>
            <w:r>
              <w:rPr>
                <w:rFonts w:hint="eastAsia" w:asciiTheme="majorEastAsia" w:hAnsiTheme="majorEastAsia" w:eastAsiaTheme="majorEastAsia"/>
                <w:szCs w:val="21"/>
                <w:lang w:eastAsia="zh-CN"/>
              </w:rPr>
              <w:t>每</w:t>
            </w:r>
            <w:r>
              <w:rPr>
                <w:rFonts w:hint="eastAsia" w:asciiTheme="majorEastAsia" w:hAnsiTheme="majorEastAsia" w:eastAsiaTheme="majorEastAsia"/>
                <w:szCs w:val="21"/>
              </w:rPr>
              <w:t>项扣5分。</w:t>
            </w:r>
          </w:p>
          <w:p>
            <w:pPr>
              <w:keepNext w:val="0"/>
              <w:keepLines w:val="0"/>
              <w:pageBreakBefore w:val="0"/>
              <w:kinsoku/>
              <w:overflowPunct/>
              <w:bidi w:val="0"/>
              <w:adjustRightInd w:val="0"/>
              <w:snapToGrid w:val="0"/>
              <w:spacing w:line="360" w:lineRule="exact"/>
              <w:ind w:right="0" w:rightChars="0"/>
              <w:textAlignment w:val="auto"/>
              <w:rPr>
                <w:rFonts w:ascii="Calibri" w:hAnsi="Calibri" w:eastAsia="宋体" w:cs="Times New Roman"/>
                <w:b/>
                <w:szCs w:val="20"/>
              </w:rPr>
            </w:pPr>
            <w:r>
              <w:rPr>
                <w:rFonts w:hint="eastAsia" w:ascii="Calibri" w:hAnsi="Calibri" w:eastAsia="宋体" w:cs="Times New Roman"/>
                <w:b/>
                <w:szCs w:val="20"/>
              </w:rPr>
              <w:t>否决项：</w:t>
            </w:r>
          </w:p>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宋体" w:hAnsi="宋体" w:eastAsia="宋体" w:cs="Times New Roman"/>
                <w:szCs w:val="21"/>
                <w:lang w:val="en-US" w:eastAsia="zh-CN"/>
              </w:rPr>
              <w:t>30%及以上的</w:t>
            </w:r>
            <w:r>
              <w:rPr>
                <w:rFonts w:hint="eastAsia" w:ascii="宋体" w:hAnsi="宋体" w:eastAsia="宋体" w:cs="Times New Roman"/>
                <w:szCs w:val="21"/>
              </w:rPr>
              <w:t>风险分级管控清单中各风险点、危险源的控制措施</w:t>
            </w:r>
            <w:r>
              <w:rPr>
                <w:rFonts w:hint="eastAsia" w:ascii="宋体" w:hAnsi="宋体" w:eastAsia="宋体" w:cs="Times New Roman"/>
                <w:szCs w:val="21"/>
                <w:lang w:eastAsia="zh-CN"/>
              </w:rPr>
              <w:t>未</w:t>
            </w:r>
            <w:r>
              <w:rPr>
                <w:rFonts w:hint="eastAsia" w:ascii="宋体" w:hAnsi="宋体" w:eastAsia="宋体" w:cs="Times New Roman"/>
                <w:szCs w:val="21"/>
              </w:rPr>
              <w:t>作为生产现场类隐患排查清单内的排查内容及标准的</w:t>
            </w:r>
            <w:r>
              <w:rPr>
                <w:rFonts w:hint="eastAsia" w:ascii="宋体" w:hAnsi="宋体" w:eastAsia="宋体" w:cs="Times New Roman"/>
                <w:szCs w:val="21"/>
                <w:lang w:eastAsia="zh-CN"/>
              </w:rPr>
              <w:t>，</w:t>
            </w:r>
            <w:r>
              <w:rPr>
                <w:rFonts w:hint="eastAsia" w:asciiTheme="majorEastAsia" w:hAnsiTheme="majorEastAsia" w:eastAsiaTheme="majorEastAsia"/>
                <w:szCs w:val="21"/>
              </w:rPr>
              <w:t>验收评定不予通过。</w:t>
            </w:r>
          </w:p>
        </w:tc>
        <w:tc>
          <w:tcPr>
            <w:tcW w:w="2850" w:type="dxa"/>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b/>
                <w:szCs w:val="21"/>
              </w:rPr>
            </w:pPr>
            <w:r>
              <w:rPr>
                <w:rFonts w:hint="eastAsia" w:asciiTheme="majorEastAsia" w:hAnsiTheme="majorEastAsia" w:eastAsiaTheme="majorEastAsia"/>
                <w:b/>
                <w:szCs w:val="21"/>
              </w:rPr>
              <w:t>查资料、查信息系统：</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1、生产现场类隐患排查清单。</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2、基础管理类隐患排查清单。</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p>
        </w:tc>
        <w:tc>
          <w:tcPr>
            <w:tcW w:w="1615" w:type="dxa"/>
            <w:vAlign w:val="center"/>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p>
        </w:tc>
        <w:tc>
          <w:tcPr>
            <w:tcW w:w="865" w:type="dxa"/>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Merge w:val="continue"/>
            <w:vAlign w:val="center"/>
          </w:tcPr>
          <w:p>
            <w:pPr>
              <w:keepNext w:val="0"/>
              <w:keepLines w:val="0"/>
              <w:pageBreakBefore w:val="0"/>
              <w:widowControl/>
              <w:kinsoku/>
              <w:overflowPunct/>
              <w:bidi w:val="0"/>
              <w:adjustRightInd w:val="0"/>
              <w:snapToGrid w:val="0"/>
              <w:spacing w:line="360" w:lineRule="exact"/>
              <w:ind w:right="0" w:rightChars="0"/>
              <w:jc w:val="center"/>
              <w:textAlignment w:val="auto"/>
              <w:rPr>
                <w:rFonts w:asciiTheme="majorEastAsia" w:hAnsiTheme="majorEastAsia" w:eastAsiaTheme="majorEastAsia"/>
                <w:b/>
                <w:szCs w:val="21"/>
              </w:rPr>
            </w:pPr>
          </w:p>
        </w:tc>
        <w:tc>
          <w:tcPr>
            <w:tcW w:w="1499" w:type="dxa"/>
            <w:vAlign w:val="center"/>
          </w:tcPr>
          <w:p>
            <w:pPr>
              <w:keepNext w:val="0"/>
              <w:keepLines w:val="0"/>
              <w:pageBreakBefore w:val="0"/>
              <w:widowControl/>
              <w:kinsoku/>
              <w:overflowPunct/>
              <w:bidi w:val="0"/>
              <w:adjustRightInd w:val="0"/>
              <w:snapToGrid w:val="0"/>
              <w:spacing w:line="360" w:lineRule="exact"/>
              <w:ind w:right="0" w:rightChars="0"/>
              <w:textAlignment w:val="auto"/>
              <w:rPr>
                <w:rFonts w:hint="eastAsia" w:asciiTheme="majorEastAsia" w:hAnsiTheme="majorEastAsia" w:eastAsiaTheme="majorEastAsia"/>
                <w:szCs w:val="21"/>
              </w:rPr>
            </w:pPr>
            <w:r>
              <w:rPr>
                <w:rFonts w:hint="eastAsia" w:asciiTheme="majorEastAsia" w:hAnsiTheme="majorEastAsia" w:eastAsiaTheme="majorEastAsia"/>
                <w:szCs w:val="21"/>
              </w:rPr>
              <w:t>确定排查计划</w:t>
            </w:r>
          </w:p>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（20分）</w:t>
            </w:r>
          </w:p>
        </w:tc>
        <w:tc>
          <w:tcPr>
            <w:tcW w:w="2792" w:type="dxa"/>
            <w:vAlign w:val="center"/>
          </w:tcPr>
          <w:p>
            <w:pPr>
              <w:pStyle w:val="49"/>
              <w:keepNext w:val="0"/>
              <w:keepLines w:val="0"/>
              <w:pageBreakBefore w:val="0"/>
              <w:kinsoku/>
              <w:overflowPunct/>
              <w:bidi w:val="0"/>
              <w:adjustRightInd w:val="0"/>
              <w:snapToGrid w:val="0"/>
              <w:spacing w:line="360" w:lineRule="exact"/>
              <w:ind w:right="0" w:rightChars="0" w:firstLine="0" w:firstLineChars="0"/>
              <w:textAlignment w:val="auto"/>
              <w:rPr>
                <w:rFonts w:hAnsi="宋体" w:cstheme="minorBidi"/>
                <w:kern w:val="2"/>
                <w:szCs w:val="21"/>
              </w:rPr>
            </w:pPr>
            <w:r>
              <w:rPr>
                <w:rFonts w:hint="eastAsia" w:hAnsi="宋体" w:cstheme="minorBidi"/>
                <w:kern w:val="2"/>
                <w:szCs w:val="21"/>
              </w:rPr>
              <w:t>企业应根据生产运行特点，制定隐患排查计划，明确各类型隐患排查的排查时间、排查目的、排查要求、排查范围、组织级别及排查人员等。</w:t>
            </w:r>
          </w:p>
        </w:tc>
        <w:tc>
          <w:tcPr>
            <w:tcW w:w="3877" w:type="dxa"/>
          </w:tcPr>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1、未制定隐患排查计划，扣20分。</w:t>
            </w:r>
          </w:p>
          <w:p>
            <w:pPr>
              <w:keepNext w:val="0"/>
              <w:keepLines w:val="0"/>
              <w:pageBreakBefore w:val="0"/>
              <w:kinsoku/>
              <w:overflowPunct/>
              <w:bidi w:val="0"/>
              <w:spacing w:line="360" w:lineRule="exact"/>
              <w:ind w:right="0" w:rightChars="0"/>
              <w:textAlignment w:val="auto"/>
              <w:rPr>
                <w:szCs w:val="20"/>
              </w:rPr>
            </w:pPr>
            <w:r>
              <w:rPr>
                <w:rFonts w:hint="eastAsia"/>
                <w:szCs w:val="20"/>
              </w:rPr>
              <w:t>2、排查计划内容不全，</w:t>
            </w:r>
            <w:r>
              <w:rPr>
                <w:rFonts w:hint="eastAsia"/>
                <w:szCs w:val="20"/>
                <w:lang w:eastAsia="zh-CN"/>
              </w:rPr>
              <w:t>缺</w:t>
            </w:r>
            <w:r>
              <w:rPr>
                <w:rFonts w:hint="eastAsia"/>
                <w:szCs w:val="20"/>
              </w:rPr>
              <w:t>一项扣2分。</w:t>
            </w:r>
          </w:p>
        </w:tc>
        <w:tc>
          <w:tcPr>
            <w:tcW w:w="2850" w:type="dxa"/>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b/>
                <w:szCs w:val="21"/>
              </w:rPr>
            </w:pPr>
            <w:r>
              <w:rPr>
                <w:rFonts w:hint="eastAsia" w:asciiTheme="majorEastAsia" w:hAnsiTheme="majorEastAsia" w:eastAsiaTheme="majorEastAsia"/>
                <w:b/>
                <w:szCs w:val="21"/>
              </w:rPr>
              <w:t>查资料、查信息系统：</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b/>
                <w:szCs w:val="21"/>
              </w:rPr>
            </w:pPr>
            <w:r>
              <w:rPr>
                <w:rFonts w:hint="eastAsia" w:asciiTheme="majorEastAsia" w:hAnsiTheme="majorEastAsia" w:eastAsiaTheme="majorEastAsia"/>
                <w:szCs w:val="21"/>
              </w:rPr>
              <w:t>隐患排查计划</w:t>
            </w:r>
            <w:r>
              <w:rPr>
                <w:rFonts w:hint="eastAsia" w:asciiTheme="majorEastAsia" w:hAnsiTheme="majorEastAsia" w:eastAsiaTheme="majorEastAsia"/>
                <w:szCs w:val="21"/>
                <w:lang w:eastAsia="zh-CN"/>
              </w:rPr>
              <w:t>等资料</w:t>
            </w:r>
          </w:p>
        </w:tc>
        <w:tc>
          <w:tcPr>
            <w:tcW w:w="1615" w:type="dxa"/>
            <w:vAlign w:val="center"/>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p>
        </w:tc>
        <w:tc>
          <w:tcPr>
            <w:tcW w:w="865" w:type="dxa"/>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Merge w:val="continue"/>
            <w:vAlign w:val="center"/>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p>
        </w:tc>
        <w:tc>
          <w:tcPr>
            <w:tcW w:w="1499" w:type="dxa"/>
            <w:vAlign w:val="center"/>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隐患</w:t>
            </w:r>
            <w:r>
              <w:rPr>
                <w:rFonts w:asciiTheme="majorEastAsia" w:hAnsiTheme="majorEastAsia" w:eastAsiaTheme="majorEastAsia"/>
                <w:szCs w:val="21"/>
              </w:rPr>
              <w:t>排查实施</w:t>
            </w:r>
            <w:r>
              <w:rPr>
                <w:rFonts w:hint="eastAsia" w:asciiTheme="majorEastAsia" w:hAnsiTheme="majorEastAsia" w:eastAsiaTheme="majorEastAsia"/>
                <w:szCs w:val="21"/>
              </w:rPr>
              <w:t>（100分）</w:t>
            </w:r>
          </w:p>
        </w:tc>
        <w:tc>
          <w:tcPr>
            <w:tcW w:w="2792" w:type="dxa"/>
            <w:vAlign w:val="center"/>
          </w:tcPr>
          <w:p>
            <w:pPr>
              <w:keepNext w:val="0"/>
              <w:keepLines w:val="0"/>
              <w:pageBreakBefore w:val="0"/>
              <w:widowControl/>
              <w:kinsoku/>
              <w:overflowPunct/>
              <w:bidi w:val="0"/>
              <w:adjustRightInd w:val="0"/>
              <w:snapToGrid w:val="0"/>
              <w:spacing w:line="360" w:lineRule="exact"/>
              <w:ind w:right="0" w:rightChars="0"/>
              <w:textAlignment w:val="auto"/>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企业应</w:t>
            </w:r>
            <w:r>
              <w:rPr>
                <w:rFonts w:hint="eastAsia" w:ascii="宋体" w:hAnsi="宋体" w:eastAsia="宋体" w:cs="Times New Roman"/>
                <w:szCs w:val="21"/>
                <w:lang w:eastAsia="zh-CN"/>
              </w:rPr>
              <w:t>按照</w:t>
            </w:r>
            <w:r>
              <w:rPr>
                <w:rFonts w:hint="eastAsia" w:asciiTheme="majorEastAsia" w:hAnsiTheme="majorEastAsia" w:eastAsiaTheme="majorEastAsia"/>
                <w:szCs w:val="21"/>
              </w:rPr>
              <w:t>排查计划</w:t>
            </w:r>
            <w:r>
              <w:rPr>
                <w:rFonts w:hint="eastAsia" w:ascii="宋体" w:hAnsi="宋体" w:eastAsia="宋体" w:cs="Times New Roman"/>
                <w:szCs w:val="21"/>
              </w:rPr>
              <w:t>，结合</w:t>
            </w:r>
            <w:r>
              <w:rPr>
                <w:rFonts w:ascii="宋体" w:hAnsi="宋体" w:eastAsia="宋体" w:cs="Times New Roman"/>
                <w:szCs w:val="21"/>
              </w:rPr>
              <w:t>安全生产的需要和特点，由</w:t>
            </w:r>
            <w:r>
              <w:rPr>
                <w:rFonts w:hint="eastAsia" w:ascii="宋体" w:hAnsi="宋体" w:eastAsia="宋体" w:cs="Times New Roman"/>
                <w:szCs w:val="21"/>
              </w:rPr>
              <w:t>各</w:t>
            </w:r>
            <w:r>
              <w:rPr>
                <w:rFonts w:ascii="宋体" w:hAnsi="宋体" w:eastAsia="宋体" w:cs="Times New Roman"/>
                <w:szCs w:val="21"/>
              </w:rPr>
              <w:t>组织级别</w:t>
            </w:r>
            <w:r>
              <w:rPr>
                <w:rFonts w:hint="eastAsia" w:ascii="宋体" w:hAnsi="宋体" w:eastAsia="宋体" w:cs="Times New Roman"/>
                <w:szCs w:val="21"/>
                <w:lang w:eastAsia="zh-CN"/>
              </w:rPr>
              <w:t>分别按要求</w:t>
            </w:r>
            <w:r>
              <w:rPr>
                <w:rFonts w:hint="eastAsia" w:ascii="宋体" w:hAnsi="宋体" w:eastAsia="宋体" w:cs="Times New Roman"/>
                <w:szCs w:val="21"/>
              </w:rPr>
              <w:t>组织隐患排查</w:t>
            </w:r>
            <w:r>
              <w:rPr>
                <w:rFonts w:hint="eastAsia" w:ascii="宋体" w:hAnsi="宋体" w:eastAsia="宋体" w:cs="Times New Roman"/>
                <w:szCs w:val="21"/>
                <w:lang w:eastAsia="zh-CN"/>
              </w:rPr>
              <w:t>，并及时、准确填写相关排查记录</w:t>
            </w:r>
            <w:r>
              <w:rPr>
                <w:rFonts w:ascii="宋体" w:hAnsi="宋体" w:eastAsia="宋体" w:cs="Times New Roman"/>
                <w:szCs w:val="21"/>
              </w:rPr>
              <w:t>。</w:t>
            </w:r>
          </w:p>
          <w:p>
            <w:pPr>
              <w:keepNext w:val="0"/>
              <w:keepLines w:val="0"/>
              <w:pageBreakBefore w:val="0"/>
              <w:widowControl/>
              <w:kinsoku/>
              <w:overflowPunct/>
              <w:bidi w:val="0"/>
              <w:adjustRightInd w:val="0"/>
              <w:snapToGrid w:val="0"/>
              <w:spacing w:line="360" w:lineRule="exact"/>
              <w:ind w:right="0" w:rightChars="0"/>
              <w:textAlignment w:val="auto"/>
              <w:rPr>
                <w:rFonts w:ascii="宋体" w:hAnsi="宋体" w:eastAsia="宋体" w:cs="Times New Roman"/>
                <w:szCs w:val="21"/>
              </w:rPr>
            </w:pPr>
            <w:r>
              <w:rPr>
                <w:rFonts w:hint="eastAsia" w:ascii="宋体" w:hAnsi="宋体" w:eastAsia="宋体" w:cs="Times New Roman"/>
                <w:szCs w:val="21"/>
              </w:rPr>
              <w:t>2、隐患排查类型、周期、实施主体应符合通则、细则等地方标准的要求。</w:t>
            </w:r>
          </w:p>
          <w:p>
            <w:pPr>
              <w:keepNext w:val="0"/>
              <w:keepLines w:val="0"/>
              <w:pageBreakBefore w:val="0"/>
              <w:widowControl/>
              <w:kinsoku/>
              <w:overflowPunct/>
              <w:bidi w:val="0"/>
              <w:adjustRightInd w:val="0"/>
              <w:snapToGrid w:val="0"/>
              <w:spacing w:line="360" w:lineRule="exact"/>
              <w:ind w:right="0" w:rightChars="0"/>
              <w:textAlignment w:val="auto"/>
              <w:rPr>
                <w:rFonts w:ascii="宋体" w:hAnsi="宋体" w:eastAsia="宋体" w:cs="Times New Roman"/>
                <w:szCs w:val="21"/>
              </w:rPr>
            </w:pPr>
            <w:r>
              <w:rPr>
                <w:rFonts w:hint="eastAsia" w:ascii="宋体" w:hAnsi="宋体" w:eastAsia="宋体" w:cs="Times New Roman"/>
                <w:szCs w:val="21"/>
              </w:rPr>
              <w:t>3、查出的不能立即整改</w:t>
            </w:r>
            <w:r>
              <w:rPr>
                <w:rFonts w:hint="eastAsia" w:ascii="宋体" w:hAnsi="宋体" w:eastAsia="宋体" w:cs="Times New Roman"/>
                <w:szCs w:val="21"/>
                <w:lang w:eastAsia="zh-CN"/>
              </w:rPr>
              <w:t>或</w:t>
            </w:r>
            <w:r>
              <w:rPr>
                <w:rFonts w:hint="eastAsia" w:ascii="宋体" w:hAnsi="宋体" w:eastAsia="宋体" w:cs="Times New Roman"/>
                <w:szCs w:val="21"/>
              </w:rPr>
              <w:t>危害较高的隐患应记录详实，</w:t>
            </w:r>
            <w:r>
              <w:rPr>
                <w:rFonts w:hint="eastAsia" w:ascii="宋体" w:hAnsi="宋体" w:eastAsia="宋体" w:cs="Times New Roman"/>
                <w:szCs w:val="21"/>
                <w:lang w:eastAsia="zh-CN"/>
              </w:rPr>
              <w:t>如条件允许应</w:t>
            </w:r>
            <w:r>
              <w:rPr>
                <w:rFonts w:hint="eastAsia" w:ascii="宋体" w:hAnsi="宋体" w:eastAsia="宋体" w:cs="Times New Roman"/>
                <w:szCs w:val="21"/>
              </w:rPr>
              <w:t>保留影像资料。</w:t>
            </w:r>
          </w:p>
        </w:tc>
        <w:tc>
          <w:tcPr>
            <w:tcW w:w="3877" w:type="dxa"/>
          </w:tcPr>
          <w:p>
            <w:pPr>
              <w:keepNext w:val="0"/>
              <w:keepLines w:val="0"/>
              <w:pageBreakBefore w:val="0"/>
              <w:widowControl/>
              <w:kinsoku/>
              <w:overflowPunct/>
              <w:bidi w:val="0"/>
              <w:adjustRightInd w:val="0"/>
              <w:snapToGrid w:val="0"/>
              <w:spacing w:line="360" w:lineRule="exact"/>
              <w:ind w:right="0" w:rightChars="0"/>
              <w:textAlignment w:val="auto"/>
              <w:rPr>
                <w:rFonts w:ascii="宋体" w:hAnsi="宋体" w:eastAsia="宋体" w:cs="Times New Roman"/>
                <w:szCs w:val="21"/>
              </w:rPr>
            </w:pPr>
            <w:r>
              <w:rPr>
                <w:rFonts w:hint="eastAsia" w:asciiTheme="majorEastAsia" w:hAnsiTheme="majorEastAsia" w:eastAsiaTheme="majorEastAsia"/>
                <w:szCs w:val="21"/>
              </w:rPr>
              <w:t>1、抽查各组织级别</w:t>
            </w:r>
            <w:r>
              <w:rPr>
                <w:rFonts w:hint="eastAsia" w:ascii="宋体" w:hAnsi="宋体" w:eastAsia="宋体" w:cs="Times New Roman"/>
                <w:szCs w:val="21"/>
              </w:rPr>
              <w:t>隐患排查记录表，</w:t>
            </w:r>
            <w:r>
              <w:rPr>
                <w:rFonts w:hint="eastAsia" w:ascii="宋体" w:hAnsi="宋体" w:eastAsia="宋体" w:cs="Times New Roman"/>
                <w:szCs w:val="21"/>
                <w:lang w:eastAsia="zh-CN"/>
              </w:rPr>
              <w:t>缺</w:t>
            </w:r>
            <w:r>
              <w:rPr>
                <w:rFonts w:ascii="宋体" w:hAnsi="宋体" w:eastAsia="宋体" w:cs="Times New Roman"/>
                <w:szCs w:val="21"/>
              </w:rPr>
              <w:t>一项扣</w:t>
            </w:r>
            <w:r>
              <w:rPr>
                <w:rFonts w:hint="eastAsia" w:ascii="宋体" w:hAnsi="宋体" w:eastAsia="宋体" w:cs="Times New Roman"/>
                <w:szCs w:val="21"/>
              </w:rPr>
              <w:t>10分。</w:t>
            </w:r>
          </w:p>
          <w:p>
            <w:pPr>
              <w:keepNext w:val="0"/>
              <w:keepLines w:val="0"/>
              <w:pageBreakBefore w:val="0"/>
              <w:widowControl/>
              <w:kinsoku/>
              <w:overflowPunct/>
              <w:bidi w:val="0"/>
              <w:adjustRightInd w:val="0"/>
              <w:snapToGrid w:val="0"/>
              <w:spacing w:line="360" w:lineRule="exact"/>
              <w:ind w:right="0" w:rightChars="0"/>
              <w:textAlignment w:val="auto"/>
              <w:rPr>
                <w:rFonts w:ascii="宋体" w:hAnsi="宋体" w:eastAsia="宋体" w:cs="Times New Roman"/>
                <w:szCs w:val="21"/>
              </w:rPr>
            </w:pPr>
            <w:r>
              <w:rPr>
                <w:rFonts w:hint="eastAsia" w:ascii="宋体" w:hAnsi="宋体" w:eastAsia="宋体" w:cs="Times New Roman"/>
                <w:szCs w:val="21"/>
              </w:rPr>
              <w:t>2、未</w:t>
            </w:r>
            <w:r>
              <w:rPr>
                <w:rFonts w:hint="eastAsia" w:ascii="宋体" w:hAnsi="宋体" w:eastAsia="宋体" w:cs="Times New Roman"/>
                <w:szCs w:val="21"/>
                <w:lang w:eastAsia="zh-CN"/>
              </w:rPr>
              <w:t>按</w:t>
            </w:r>
            <w:r>
              <w:rPr>
                <w:rFonts w:hint="eastAsia" w:asciiTheme="majorEastAsia" w:hAnsiTheme="majorEastAsia" w:eastAsiaTheme="majorEastAsia"/>
                <w:szCs w:val="21"/>
              </w:rPr>
              <w:t>隐患排查计划</w:t>
            </w:r>
            <w:r>
              <w:rPr>
                <w:rFonts w:hint="eastAsia" w:ascii="宋体" w:hAnsi="宋体" w:eastAsia="宋体" w:cs="Times New Roman"/>
                <w:szCs w:val="21"/>
              </w:rPr>
              <w:t>组织隐患排查，</w:t>
            </w:r>
            <w:r>
              <w:rPr>
                <w:rFonts w:hint="eastAsia"/>
                <w:szCs w:val="20"/>
                <w:lang w:eastAsia="zh-CN"/>
              </w:rPr>
              <w:t>缺</w:t>
            </w:r>
            <w:r>
              <w:rPr>
                <w:rFonts w:hint="eastAsia"/>
                <w:szCs w:val="20"/>
              </w:rPr>
              <w:t>一项</w:t>
            </w:r>
            <w:r>
              <w:rPr>
                <w:rFonts w:hint="eastAsia" w:ascii="宋体" w:hAnsi="宋体" w:eastAsia="宋体" w:cs="Times New Roman"/>
                <w:szCs w:val="21"/>
              </w:rPr>
              <w:t>扣5分。</w:t>
            </w:r>
          </w:p>
          <w:p>
            <w:pPr>
              <w:keepNext w:val="0"/>
              <w:keepLines w:val="0"/>
              <w:pageBreakBefore w:val="0"/>
              <w:widowControl/>
              <w:kinsoku/>
              <w:overflowPunct/>
              <w:bidi w:val="0"/>
              <w:adjustRightInd w:val="0"/>
              <w:snapToGrid w:val="0"/>
              <w:spacing w:line="360" w:lineRule="exact"/>
              <w:ind w:right="0" w:rightChars="0"/>
              <w:textAlignment w:val="auto"/>
              <w:rPr>
                <w:rFonts w:ascii="宋体" w:hAnsi="宋体" w:eastAsia="宋体" w:cs="Times New Roman"/>
                <w:szCs w:val="21"/>
              </w:rPr>
            </w:pPr>
            <w:r>
              <w:rPr>
                <w:rFonts w:hint="eastAsia" w:ascii="宋体" w:hAnsi="宋体" w:eastAsia="宋体" w:cs="Times New Roman"/>
                <w:szCs w:val="21"/>
              </w:rPr>
              <w:t>3、排查记录</w:t>
            </w:r>
            <w:r>
              <w:rPr>
                <w:rFonts w:hint="eastAsia" w:ascii="宋体" w:hAnsi="宋体" w:eastAsia="宋体" w:cs="Times New Roman"/>
                <w:szCs w:val="21"/>
                <w:lang w:eastAsia="zh-CN"/>
              </w:rPr>
              <w:t>记录不详实的，隐患信息填写</w:t>
            </w:r>
            <w:r>
              <w:rPr>
                <w:rFonts w:hint="eastAsia" w:ascii="宋体" w:hAnsi="宋体" w:eastAsia="宋体" w:cs="Times New Roman"/>
                <w:szCs w:val="21"/>
              </w:rPr>
              <w:t>不</w:t>
            </w:r>
            <w:r>
              <w:rPr>
                <w:rFonts w:hint="eastAsia" w:ascii="宋体" w:hAnsi="宋体" w:eastAsia="宋体" w:cs="Times New Roman"/>
                <w:szCs w:val="21"/>
                <w:lang w:eastAsia="zh-CN"/>
              </w:rPr>
              <w:t>准确、全面的，发现一项</w:t>
            </w:r>
            <w:r>
              <w:rPr>
                <w:rFonts w:hint="eastAsia" w:ascii="宋体" w:hAnsi="宋体" w:eastAsia="宋体" w:cs="Times New Roman"/>
                <w:szCs w:val="21"/>
              </w:rPr>
              <w:t>扣5分</w:t>
            </w:r>
            <w:r>
              <w:rPr>
                <w:rFonts w:hint="eastAsia" w:ascii="宋体" w:hAnsi="宋体" w:eastAsia="宋体" w:cs="Times New Roman"/>
                <w:szCs w:val="21"/>
                <w:lang w:eastAsia="zh-CN"/>
              </w:rPr>
              <w:t>。</w:t>
            </w:r>
          </w:p>
          <w:p>
            <w:pPr>
              <w:keepNext w:val="0"/>
              <w:keepLines w:val="0"/>
              <w:pageBreakBefore w:val="0"/>
              <w:widowControl/>
              <w:kinsoku/>
              <w:overflowPunct/>
              <w:bidi w:val="0"/>
              <w:adjustRightInd w:val="0"/>
              <w:snapToGrid w:val="0"/>
              <w:spacing w:line="360" w:lineRule="exact"/>
              <w:ind w:right="0" w:rightChars="0"/>
              <w:textAlignment w:val="auto"/>
              <w:rPr>
                <w:rFonts w:ascii="宋体" w:hAnsi="宋体" w:eastAsia="宋体" w:cs="Times New Roman"/>
                <w:b/>
                <w:szCs w:val="21"/>
              </w:rPr>
            </w:pPr>
          </w:p>
        </w:tc>
        <w:tc>
          <w:tcPr>
            <w:tcW w:w="2850" w:type="dxa"/>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b/>
                <w:szCs w:val="21"/>
              </w:rPr>
            </w:pPr>
            <w:r>
              <w:rPr>
                <w:rFonts w:hint="eastAsia" w:asciiTheme="majorEastAsia" w:hAnsiTheme="majorEastAsia" w:eastAsiaTheme="majorEastAsia"/>
                <w:b/>
                <w:szCs w:val="21"/>
              </w:rPr>
              <w:t>查资料、查信息系统：</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隐患排查表</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rPr>
              <w:t>排查记录</w:t>
            </w:r>
            <w:r>
              <w:rPr>
                <w:rFonts w:hint="eastAsia" w:asciiTheme="majorEastAsia" w:hAnsiTheme="majorEastAsia" w:eastAsiaTheme="majorEastAsia"/>
                <w:szCs w:val="21"/>
                <w:lang w:eastAsia="zh-CN"/>
              </w:rPr>
              <w:t>、隐患登记表等记录</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b/>
                <w:szCs w:val="21"/>
              </w:rPr>
            </w:pPr>
            <w:r>
              <w:rPr>
                <w:rFonts w:hint="eastAsia" w:asciiTheme="majorEastAsia" w:hAnsiTheme="majorEastAsia" w:eastAsiaTheme="majorEastAsia"/>
                <w:b/>
                <w:szCs w:val="21"/>
              </w:rPr>
              <w:t>现场检查：</w:t>
            </w:r>
          </w:p>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b/>
                <w:szCs w:val="21"/>
              </w:rPr>
            </w:pPr>
            <w:r>
              <w:rPr>
                <w:rFonts w:hint="eastAsia" w:asciiTheme="majorEastAsia" w:hAnsiTheme="majorEastAsia" w:eastAsiaTheme="majorEastAsia"/>
                <w:szCs w:val="21"/>
              </w:rPr>
              <w:t>核查项目与标准、结果与现场的一致性。</w:t>
            </w:r>
          </w:p>
        </w:tc>
        <w:tc>
          <w:tcPr>
            <w:tcW w:w="1615" w:type="dxa"/>
            <w:vAlign w:val="center"/>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p>
        </w:tc>
        <w:tc>
          <w:tcPr>
            <w:tcW w:w="865" w:type="dxa"/>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Merge w:val="continue"/>
            <w:vAlign w:val="center"/>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p>
        </w:tc>
        <w:tc>
          <w:tcPr>
            <w:tcW w:w="1499" w:type="dxa"/>
            <w:vAlign w:val="center"/>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一般事故隐患治理（50分）</w:t>
            </w:r>
          </w:p>
        </w:tc>
        <w:tc>
          <w:tcPr>
            <w:tcW w:w="2792" w:type="dxa"/>
            <w:vAlign w:val="center"/>
          </w:tcPr>
          <w:p>
            <w:pPr>
              <w:keepNext w:val="0"/>
              <w:keepLines w:val="0"/>
              <w:pageBreakBefore w:val="0"/>
              <w:widowControl/>
              <w:kinsoku/>
              <w:overflowPunct/>
              <w:bidi w:val="0"/>
              <w:adjustRightInd w:val="0"/>
              <w:snapToGrid w:val="0"/>
              <w:spacing w:line="360" w:lineRule="exact"/>
              <w:ind w:right="0" w:rightChars="0"/>
              <w:textAlignment w:val="auto"/>
              <w:rPr>
                <w:rFonts w:ascii="宋体" w:hAnsi="宋体" w:eastAsia="宋体" w:cs="Times New Roman"/>
                <w:szCs w:val="21"/>
              </w:rPr>
            </w:pPr>
            <w:r>
              <w:rPr>
                <w:rFonts w:hint="eastAsia" w:ascii="宋体" w:hAnsi="宋体" w:eastAsia="宋体" w:cs="Times New Roman"/>
                <w:szCs w:val="21"/>
              </w:rPr>
              <w:t>1、隐患排查结束后，对于当场不能立即整改的，由隐患排查组织部门下达隐患整改通知，并填写如下内容：隐患描述、隐患等级、建议整改措施、治理责任单位和主要责任人、治理期限等内容。并以适当方式向从业人员通报隐患信息。</w:t>
            </w:r>
          </w:p>
          <w:p>
            <w:pPr>
              <w:keepNext w:val="0"/>
              <w:keepLines w:val="0"/>
              <w:pageBreakBefore w:val="0"/>
              <w:kinsoku/>
              <w:overflowPunct/>
              <w:bidi w:val="0"/>
              <w:adjustRightInd w:val="0"/>
              <w:snapToGrid w:val="0"/>
              <w:spacing w:line="360" w:lineRule="exact"/>
              <w:ind w:right="0" w:rightChars="0"/>
              <w:textAlignment w:val="auto"/>
              <w:rPr>
                <w:rFonts w:ascii="宋体" w:hAnsi="宋体" w:eastAsia="宋体" w:cs="Times New Roman"/>
                <w:szCs w:val="21"/>
              </w:rPr>
            </w:pPr>
            <w:r>
              <w:rPr>
                <w:rFonts w:hint="eastAsia" w:ascii="宋体" w:hAnsi="宋体" w:eastAsia="宋体" w:cs="Times New Roman"/>
                <w:szCs w:val="21"/>
              </w:rPr>
              <w:t>2、隐患存在单位在实施隐患治理前应当对隐患存在的原因进行分析，制定可靠的治理措施和应急措施或预案，估算整改资金并按规定时限落实整改，并将整改情况及时反馈至隐患排查组织部门。</w:t>
            </w:r>
          </w:p>
          <w:p>
            <w:pPr>
              <w:pStyle w:val="49"/>
              <w:keepNext w:val="0"/>
              <w:keepLines w:val="0"/>
              <w:pageBreakBefore w:val="0"/>
              <w:kinsoku/>
              <w:overflowPunct/>
              <w:bidi w:val="0"/>
              <w:spacing w:line="360" w:lineRule="exact"/>
              <w:ind w:right="0" w:rightChars="0" w:firstLine="0" w:firstLineChars="0"/>
              <w:textAlignment w:val="auto"/>
              <w:rPr>
                <w:rFonts w:hAnsi="宋体" w:cstheme="minorBidi"/>
                <w:kern w:val="2"/>
                <w:szCs w:val="21"/>
              </w:rPr>
            </w:pPr>
            <w:r>
              <w:rPr>
                <w:rFonts w:hint="eastAsia" w:hAnsi="宋体" w:cstheme="minorBidi"/>
                <w:kern w:val="2"/>
                <w:szCs w:val="21"/>
              </w:rPr>
              <w:t>3、</w:t>
            </w:r>
            <w:r>
              <w:rPr>
                <w:rFonts w:hint="eastAsia" w:hAnsi="宋体" w:cstheme="minorBidi"/>
                <w:szCs w:val="21"/>
              </w:rPr>
              <w:t>隐患排查组织部门应当对隐患整改效果组织验收并出具验收意见。</w:t>
            </w:r>
          </w:p>
        </w:tc>
        <w:tc>
          <w:tcPr>
            <w:tcW w:w="3877" w:type="dxa"/>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1、未定期通报隐患排查结果，</w:t>
            </w:r>
            <w:r>
              <w:rPr>
                <w:rFonts w:hint="eastAsia" w:ascii="宋体" w:hAnsi="宋体" w:eastAsia="宋体" w:cs="Times New Roman"/>
                <w:szCs w:val="21"/>
                <w:lang w:eastAsia="zh-CN"/>
              </w:rPr>
              <w:t>发现一项</w:t>
            </w:r>
            <w:r>
              <w:rPr>
                <w:rFonts w:hint="eastAsia" w:ascii="宋体" w:hAnsi="宋体" w:eastAsia="宋体" w:cs="Times New Roman"/>
                <w:szCs w:val="21"/>
              </w:rPr>
              <w:t>扣5分</w:t>
            </w:r>
            <w:r>
              <w:rPr>
                <w:rFonts w:hint="eastAsia" w:ascii="宋体" w:hAnsi="宋体" w:eastAsia="宋体" w:cs="Times New Roman"/>
                <w:szCs w:val="21"/>
                <w:lang w:eastAsia="zh-CN"/>
              </w:rPr>
              <w:t>。</w:t>
            </w:r>
          </w:p>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2、针对查出的事故隐患未及时下发隐患整改通知单，</w:t>
            </w:r>
            <w:r>
              <w:rPr>
                <w:rFonts w:hint="eastAsia" w:ascii="宋体" w:hAnsi="宋体" w:eastAsia="宋体" w:cs="Times New Roman"/>
                <w:szCs w:val="21"/>
                <w:lang w:eastAsia="zh-CN"/>
              </w:rPr>
              <w:t>发现</w:t>
            </w:r>
            <w:r>
              <w:rPr>
                <w:rFonts w:hint="eastAsia" w:asciiTheme="majorEastAsia" w:hAnsiTheme="majorEastAsia" w:eastAsiaTheme="majorEastAsia"/>
                <w:szCs w:val="21"/>
              </w:rPr>
              <w:t>一项扣5分。</w:t>
            </w:r>
          </w:p>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3、隐患整改通知单内容不全，</w:t>
            </w:r>
            <w:r>
              <w:rPr>
                <w:rFonts w:hint="eastAsia" w:asciiTheme="majorEastAsia" w:hAnsiTheme="majorEastAsia" w:eastAsiaTheme="majorEastAsia"/>
                <w:szCs w:val="21"/>
                <w:lang w:eastAsia="zh-CN"/>
              </w:rPr>
              <w:t>缺</w:t>
            </w:r>
            <w:r>
              <w:rPr>
                <w:rFonts w:hint="eastAsia" w:asciiTheme="majorEastAsia" w:hAnsiTheme="majorEastAsia" w:eastAsiaTheme="majorEastAsia"/>
                <w:szCs w:val="21"/>
              </w:rPr>
              <w:t>一项扣1分。</w:t>
            </w:r>
          </w:p>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4、隐患治理单位未按期整改且无正当理由的，</w:t>
            </w:r>
            <w:r>
              <w:rPr>
                <w:rFonts w:hint="eastAsia" w:asciiTheme="majorEastAsia" w:hAnsiTheme="majorEastAsia" w:eastAsiaTheme="majorEastAsia"/>
                <w:szCs w:val="21"/>
                <w:lang w:eastAsia="zh-CN"/>
              </w:rPr>
              <w:t>缺</w:t>
            </w:r>
            <w:r>
              <w:rPr>
                <w:rFonts w:hint="eastAsia" w:asciiTheme="majorEastAsia" w:hAnsiTheme="majorEastAsia" w:eastAsiaTheme="majorEastAsia"/>
                <w:szCs w:val="21"/>
              </w:rPr>
              <w:t>一项扣5分。</w:t>
            </w:r>
          </w:p>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5、隐患整改后未对整改情况进行验收并出具验收意见的，一项扣 2分。</w:t>
            </w:r>
          </w:p>
          <w:p>
            <w:pPr>
              <w:keepNext w:val="0"/>
              <w:keepLines w:val="0"/>
              <w:pageBreakBefore w:val="0"/>
              <w:widowControl/>
              <w:kinsoku/>
              <w:overflowPunct/>
              <w:bidi w:val="0"/>
              <w:adjustRightInd w:val="0"/>
              <w:snapToGrid w:val="0"/>
              <w:spacing w:line="360" w:lineRule="exact"/>
              <w:ind w:right="0" w:rightChars="0"/>
              <w:textAlignment w:val="auto"/>
              <w:rPr>
                <w:rFonts w:ascii="宋体" w:hAnsi="宋体" w:eastAsia="宋体" w:cs="Times New Roman"/>
                <w:b/>
                <w:szCs w:val="21"/>
              </w:rPr>
            </w:pPr>
            <w:r>
              <w:rPr>
                <w:rFonts w:hint="eastAsia" w:ascii="宋体" w:hAnsi="宋体" w:eastAsia="宋体" w:cs="Times New Roman"/>
                <w:b/>
                <w:szCs w:val="21"/>
              </w:rPr>
              <w:t>否决项：</w:t>
            </w:r>
          </w:p>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宋体" w:hAnsi="宋体" w:eastAsia="宋体" w:cs="Times New Roman"/>
                <w:szCs w:val="21"/>
              </w:rPr>
              <w:t>30%</w:t>
            </w:r>
            <w:r>
              <w:rPr>
                <w:rFonts w:ascii="宋体" w:hAnsi="宋体" w:eastAsia="宋体" w:cs="Times New Roman"/>
                <w:szCs w:val="21"/>
              </w:rPr>
              <w:t>及以上</w:t>
            </w:r>
            <w:r>
              <w:rPr>
                <w:rFonts w:hint="eastAsia" w:asciiTheme="majorEastAsia" w:hAnsiTheme="majorEastAsia" w:eastAsiaTheme="majorEastAsia"/>
                <w:szCs w:val="21"/>
              </w:rPr>
              <w:t>隐患未按期整改且无正当理由的</w:t>
            </w:r>
            <w:r>
              <w:rPr>
                <w:rFonts w:hint="eastAsia" w:ascii="宋体" w:hAnsi="宋体" w:eastAsia="宋体" w:cs="Times New Roman"/>
                <w:szCs w:val="21"/>
              </w:rPr>
              <w:t>，</w:t>
            </w:r>
            <w:r>
              <w:rPr>
                <w:rFonts w:hint="eastAsia" w:asciiTheme="majorEastAsia" w:hAnsiTheme="majorEastAsia" w:eastAsiaTheme="majorEastAsia"/>
                <w:szCs w:val="21"/>
              </w:rPr>
              <w:t>验收评定不予通过。</w:t>
            </w:r>
          </w:p>
        </w:tc>
        <w:tc>
          <w:tcPr>
            <w:tcW w:w="2850" w:type="dxa"/>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b/>
                <w:szCs w:val="21"/>
              </w:rPr>
            </w:pPr>
            <w:r>
              <w:rPr>
                <w:rFonts w:hint="eastAsia" w:asciiTheme="majorEastAsia" w:hAnsiTheme="majorEastAsia" w:eastAsiaTheme="majorEastAsia"/>
                <w:b/>
                <w:szCs w:val="21"/>
              </w:rPr>
              <w:t>查资料、查信息系统：</w:t>
            </w:r>
          </w:p>
          <w:p>
            <w:pPr>
              <w:pStyle w:val="36"/>
              <w:keepNext w:val="0"/>
              <w:keepLines w:val="0"/>
              <w:pageBreakBefore w:val="0"/>
              <w:numPr>
                <w:ilvl w:val="0"/>
                <w:numId w:val="8"/>
              </w:numPr>
              <w:kinsoku/>
              <w:overflowPunct/>
              <w:bidi w:val="0"/>
              <w:adjustRightInd w:val="0"/>
              <w:snapToGrid w:val="0"/>
              <w:spacing w:line="360" w:lineRule="exact"/>
              <w:ind w:right="0" w:rightChars="0"/>
              <w:textAlignment w:val="auto"/>
              <w:rPr>
                <w:rFonts w:cstheme="minorBidi"/>
                <w:kern w:val="2"/>
                <w:sz w:val="21"/>
                <w:szCs w:val="20"/>
                <w:lang w:eastAsia="zh-CN" w:bidi="ar-SA"/>
              </w:rPr>
            </w:pPr>
            <w:r>
              <w:rPr>
                <w:rFonts w:hint="eastAsia" w:cstheme="minorBidi"/>
                <w:kern w:val="2"/>
                <w:sz w:val="21"/>
                <w:szCs w:val="20"/>
                <w:lang w:eastAsia="zh-CN" w:bidi="ar-SA"/>
              </w:rPr>
              <w:t>隐患通报。</w:t>
            </w:r>
          </w:p>
          <w:p>
            <w:pPr>
              <w:pStyle w:val="36"/>
              <w:keepNext w:val="0"/>
              <w:keepLines w:val="0"/>
              <w:pageBreakBefore w:val="0"/>
              <w:numPr>
                <w:ilvl w:val="0"/>
                <w:numId w:val="8"/>
              </w:numPr>
              <w:kinsoku/>
              <w:overflowPunct/>
              <w:bidi w:val="0"/>
              <w:adjustRightInd w:val="0"/>
              <w:snapToGrid w:val="0"/>
              <w:spacing w:line="360" w:lineRule="exact"/>
              <w:ind w:right="0" w:rightChars="0"/>
              <w:textAlignment w:val="auto"/>
              <w:rPr>
                <w:rFonts w:cstheme="minorBidi"/>
                <w:kern w:val="2"/>
                <w:sz w:val="21"/>
                <w:szCs w:val="20"/>
                <w:lang w:eastAsia="zh-CN" w:bidi="ar-SA"/>
              </w:rPr>
            </w:pPr>
            <w:r>
              <w:rPr>
                <w:rFonts w:hint="eastAsia" w:cstheme="minorBidi"/>
                <w:kern w:val="2"/>
                <w:sz w:val="21"/>
                <w:szCs w:val="20"/>
                <w:lang w:eastAsia="zh-CN" w:bidi="ar-SA"/>
              </w:rPr>
              <w:t>隐患整改通知单。</w:t>
            </w:r>
          </w:p>
          <w:p>
            <w:pPr>
              <w:pStyle w:val="36"/>
              <w:keepNext w:val="0"/>
              <w:keepLines w:val="0"/>
              <w:pageBreakBefore w:val="0"/>
              <w:numPr>
                <w:ilvl w:val="0"/>
                <w:numId w:val="8"/>
              </w:numPr>
              <w:kinsoku/>
              <w:overflowPunct/>
              <w:bidi w:val="0"/>
              <w:adjustRightInd w:val="0"/>
              <w:snapToGrid w:val="0"/>
              <w:spacing w:line="360" w:lineRule="exact"/>
              <w:ind w:right="0" w:rightChars="0"/>
              <w:textAlignment w:val="auto"/>
              <w:rPr>
                <w:rFonts w:cstheme="minorBidi"/>
                <w:kern w:val="2"/>
                <w:sz w:val="21"/>
                <w:szCs w:val="21"/>
                <w:lang w:eastAsia="zh-CN" w:bidi="ar-SA"/>
              </w:rPr>
            </w:pPr>
            <w:r>
              <w:rPr>
                <w:rFonts w:hint="eastAsia" w:asciiTheme="majorEastAsia" w:hAnsiTheme="majorEastAsia" w:eastAsiaTheme="majorEastAsia"/>
                <w:sz w:val="21"/>
                <w:szCs w:val="21"/>
              </w:rPr>
              <w:t>隐患排查治理台账</w:t>
            </w:r>
            <w:r>
              <w:rPr>
                <w:rFonts w:hint="eastAsia" w:asciiTheme="majorEastAsia" w:hAnsiTheme="majorEastAsia" w:eastAsiaTheme="majorEastAsia"/>
                <w:sz w:val="21"/>
                <w:szCs w:val="21"/>
                <w:lang w:eastAsia="zh-CN"/>
              </w:rPr>
              <w:t>。</w:t>
            </w:r>
          </w:p>
        </w:tc>
        <w:tc>
          <w:tcPr>
            <w:tcW w:w="1615" w:type="dxa"/>
            <w:vAlign w:val="center"/>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p>
        </w:tc>
        <w:tc>
          <w:tcPr>
            <w:tcW w:w="865" w:type="dxa"/>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Merge w:val="continue"/>
            <w:vAlign w:val="center"/>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p>
        </w:tc>
        <w:tc>
          <w:tcPr>
            <w:tcW w:w="1499" w:type="dxa"/>
            <w:vAlign w:val="center"/>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重大事故隐患治理（50分）</w:t>
            </w:r>
          </w:p>
        </w:tc>
        <w:tc>
          <w:tcPr>
            <w:tcW w:w="2792" w:type="dxa"/>
            <w:vAlign w:val="center"/>
          </w:tcPr>
          <w:p>
            <w:pPr>
              <w:keepNext w:val="0"/>
              <w:keepLines w:val="0"/>
              <w:pageBreakBefore w:val="0"/>
              <w:kinsoku/>
              <w:overflowPunct/>
              <w:bidi w:val="0"/>
              <w:adjustRightInd w:val="0"/>
              <w:snapToGrid w:val="0"/>
              <w:spacing w:line="360" w:lineRule="exact"/>
              <w:ind w:right="0" w:rightChars="0"/>
              <w:textAlignment w:val="auto"/>
              <w:rPr>
                <w:rFonts w:ascii="宋体" w:hAnsi="宋体" w:eastAsia="宋体" w:cs="Times New Roman"/>
                <w:szCs w:val="21"/>
              </w:rPr>
            </w:pPr>
            <w:r>
              <w:rPr>
                <w:rFonts w:hint="eastAsia" w:ascii="宋体" w:hAnsi="宋体" w:eastAsia="宋体" w:cs="Times New Roman"/>
                <w:szCs w:val="21"/>
              </w:rPr>
              <w:t>1、经判定属于重大事故隐患的，企业应当及时组织评估，并编制事故隐患评估报告书。</w:t>
            </w:r>
          </w:p>
          <w:p>
            <w:pPr>
              <w:pStyle w:val="54"/>
              <w:keepNext w:val="0"/>
              <w:keepLines w:val="0"/>
              <w:pageBreakBefore w:val="0"/>
              <w:kinsoku/>
              <w:overflowPunct/>
              <w:bidi w:val="0"/>
              <w:adjustRightInd w:val="0"/>
              <w:snapToGrid w:val="0"/>
              <w:spacing w:beforeLines="0" w:afterLines="0" w:line="360" w:lineRule="exact"/>
              <w:ind w:right="0" w:rightChars="0"/>
              <w:textAlignment w:val="auto"/>
              <w:rPr>
                <w:rFonts w:ascii="宋体" w:hAnsi="宋体" w:eastAsia="宋体"/>
                <w:kern w:val="2"/>
                <w:highlight w:val="yellow"/>
              </w:rPr>
            </w:pPr>
            <w:r>
              <w:rPr>
                <w:rFonts w:hint="eastAsia" w:ascii="宋体" w:hAnsi="宋体" w:eastAsia="宋体"/>
                <w:kern w:val="2"/>
              </w:rPr>
              <w:t>2、企业应根据评估报告书制定重大事故隐患治理方案,治理方案内容应符合细则的规定，并将治理方案按相关规定上报。</w:t>
            </w:r>
          </w:p>
          <w:p>
            <w:pPr>
              <w:keepNext w:val="0"/>
              <w:keepLines w:val="0"/>
              <w:pageBreakBefore w:val="0"/>
              <w:widowControl/>
              <w:kinsoku/>
              <w:overflowPunct/>
              <w:bidi w:val="0"/>
              <w:adjustRightInd w:val="0"/>
              <w:snapToGrid w:val="0"/>
              <w:spacing w:line="360" w:lineRule="exact"/>
              <w:ind w:right="0" w:rightChars="0"/>
              <w:textAlignment w:val="auto"/>
              <w:rPr>
                <w:szCs w:val="20"/>
              </w:rPr>
            </w:pPr>
            <w:r>
              <w:rPr>
                <w:rFonts w:hint="eastAsia" w:asciiTheme="majorEastAsia" w:hAnsiTheme="majorEastAsia" w:eastAsiaTheme="majorEastAsia"/>
                <w:szCs w:val="21"/>
              </w:rPr>
              <w:t>3、</w:t>
            </w:r>
            <w:r>
              <w:rPr>
                <w:rFonts w:hint="eastAsia"/>
                <w:szCs w:val="20"/>
              </w:rPr>
              <w:t>重大事故隐患治理工作结束后，企业应组织对治理情况进行复查评估，并将治理结果按规定上报有关部门。</w:t>
            </w:r>
          </w:p>
          <w:p>
            <w:pPr>
              <w:keepNext w:val="0"/>
              <w:keepLines w:val="0"/>
              <w:pageBreakBefore w:val="0"/>
              <w:widowControl/>
              <w:kinsoku/>
              <w:overflowPunct/>
              <w:bidi w:val="0"/>
              <w:adjustRightInd w:val="0"/>
              <w:snapToGrid w:val="0"/>
              <w:spacing w:line="360" w:lineRule="exact"/>
              <w:ind w:right="0" w:rightChars="0"/>
              <w:textAlignment w:val="auto"/>
              <w:rPr>
                <w:rFonts w:ascii="宋体" w:hAnsi="宋体" w:eastAsia="宋体" w:cs="Times New Roman"/>
                <w:szCs w:val="21"/>
              </w:rPr>
            </w:pPr>
            <w:r>
              <w:rPr>
                <w:rFonts w:hint="eastAsia" w:hAnsi="宋体" w:cs="宋体"/>
                <w:szCs w:val="21"/>
              </w:rPr>
              <w:t>4、</w:t>
            </w:r>
            <w:r>
              <w:rPr>
                <w:rFonts w:hint="eastAsia"/>
                <w:szCs w:val="20"/>
              </w:rPr>
              <w:t>重大事故隐患排查、评估报告，治理方案、整改验收等应保留纸质记录，单独建档管理。</w:t>
            </w:r>
          </w:p>
        </w:tc>
        <w:tc>
          <w:tcPr>
            <w:tcW w:w="3877" w:type="dxa"/>
          </w:tcPr>
          <w:p>
            <w:pPr>
              <w:keepNext w:val="0"/>
              <w:keepLines w:val="0"/>
              <w:pageBreakBefore w:val="0"/>
              <w:widowControl/>
              <w:kinsoku/>
              <w:overflowPunct/>
              <w:bidi w:val="0"/>
              <w:adjustRightInd w:val="0"/>
              <w:snapToGrid w:val="0"/>
              <w:spacing w:line="360" w:lineRule="exact"/>
              <w:ind w:right="0" w:rightChars="0" w:firstLine="0" w:firstLineChars="0"/>
              <w:textAlignment w:val="auto"/>
              <w:rPr>
                <w:rFonts w:ascii="宋体" w:hAnsi="宋体" w:eastAsia="宋体" w:cs="Times New Roman"/>
                <w:szCs w:val="21"/>
              </w:rPr>
            </w:pPr>
            <w:r>
              <w:rPr>
                <w:rFonts w:hint="eastAsia" w:asciiTheme="majorEastAsia" w:hAnsiTheme="majorEastAsia" w:eastAsiaTheme="majorEastAsia"/>
                <w:szCs w:val="21"/>
              </w:rPr>
              <w:t>1、企业存在重大事故隐患未进行评估并出具评估报告书的，</w:t>
            </w:r>
            <w:r>
              <w:rPr>
                <w:rFonts w:hint="eastAsia" w:asciiTheme="majorEastAsia" w:hAnsiTheme="majorEastAsia" w:eastAsiaTheme="majorEastAsia"/>
                <w:szCs w:val="21"/>
                <w:lang w:eastAsia="zh-CN"/>
              </w:rPr>
              <w:t>发现</w:t>
            </w:r>
            <w:r>
              <w:rPr>
                <w:rFonts w:hint="eastAsia" w:asciiTheme="majorEastAsia" w:hAnsiTheme="majorEastAsia" w:eastAsiaTheme="majorEastAsia"/>
                <w:szCs w:val="21"/>
              </w:rPr>
              <w:t>一项扣5分。</w:t>
            </w:r>
            <w:r>
              <w:rPr>
                <w:rFonts w:hint="eastAsia" w:ascii="宋体" w:hAnsi="宋体" w:eastAsia="宋体" w:cs="Times New Roman"/>
                <w:szCs w:val="21"/>
                <w:lang w:val="en-US" w:eastAsia="zh-CN"/>
              </w:rPr>
              <w:t>2、</w:t>
            </w:r>
            <w:r>
              <w:rPr>
                <w:rFonts w:hint="eastAsia" w:ascii="宋体" w:hAnsi="宋体" w:eastAsia="宋体" w:cs="Times New Roman"/>
                <w:szCs w:val="21"/>
              </w:rPr>
              <w:t>评估报告书内容不详实的，未包括隐患的类别、影响范围和风险程度以及对事故隐患的监控措施、治理方式、治理期限的建议等内容，缺一项扣2分。</w:t>
            </w:r>
          </w:p>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lang w:val="en-US" w:eastAsia="zh-CN"/>
              </w:rPr>
              <w:t>3</w:t>
            </w:r>
            <w:r>
              <w:rPr>
                <w:rFonts w:hint="eastAsia" w:asciiTheme="majorEastAsia" w:hAnsiTheme="majorEastAsia" w:eastAsiaTheme="majorEastAsia"/>
                <w:szCs w:val="21"/>
              </w:rPr>
              <w:t>、未根据评估报告书制定重大隐患治理方案的，一项扣10分。未按照治理方案要求及时治理的，一项扣20分。</w:t>
            </w:r>
          </w:p>
          <w:p>
            <w:pPr>
              <w:keepNext w:val="0"/>
              <w:keepLines w:val="0"/>
              <w:pageBreakBefore w:val="0"/>
              <w:widowControl/>
              <w:kinsoku/>
              <w:overflowPunct/>
              <w:bidi w:val="0"/>
              <w:adjustRightInd w:val="0"/>
              <w:snapToGrid w:val="0"/>
              <w:spacing w:line="360" w:lineRule="exact"/>
              <w:ind w:right="0" w:rightChars="0"/>
              <w:textAlignment w:val="auto"/>
              <w:rPr>
                <w:szCs w:val="20"/>
              </w:rPr>
            </w:pPr>
            <w:r>
              <w:rPr>
                <w:rFonts w:hint="eastAsia" w:asciiTheme="majorEastAsia" w:hAnsiTheme="majorEastAsia" w:eastAsiaTheme="majorEastAsia"/>
                <w:szCs w:val="21"/>
                <w:lang w:val="en-US" w:eastAsia="zh-CN"/>
              </w:rPr>
              <w:t>4</w:t>
            </w:r>
            <w:r>
              <w:rPr>
                <w:rFonts w:hint="eastAsia" w:asciiTheme="majorEastAsia" w:hAnsiTheme="majorEastAsia" w:eastAsiaTheme="majorEastAsia"/>
                <w:szCs w:val="21"/>
              </w:rPr>
              <w:t>、</w:t>
            </w:r>
            <w:r>
              <w:rPr>
                <w:rFonts w:hint="eastAsia"/>
                <w:szCs w:val="20"/>
              </w:rPr>
              <w:t>重大事故隐患治理工作结束后，未及时组织复查评估，一项扣5分。</w:t>
            </w:r>
          </w:p>
          <w:p>
            <w:pPr>
              <w:keepNext w:val="0"/>
              <w:keepLines w:val="0"/>
              <w:pageBreakBefore w:val="0"/>
              <w:widowControl/>
              <w:kinsoku/>
              <w:overflowPunct/>
              <w:bidi w:val="0"/>
              <w:adjustRightInd w:val="0"/>
              <w:snapToGrid w:val="0"/>
              <w:spacing w:line="360" w:lineRule="exact"/>
              <w:ind w:right="0" w:rightChars="0"/>
              <w:textAlignment w:val="auto"/>
              <w:rPr>
                <w:szCs w:val="20"/>
              </w:rPr>
            </w:pPr>
            <w:r>
              <w:rPr>
                <w:rFonts w:hint="eastAsia"/>
                <w:szCs w:val="20"/>
                <w:lang w:val="en-US" w:eastAsia="zh-CN"/>
              </w:rPr>
              <w:t>5</w:t>
            </w:r>
            <w:r>
              <w:rPr>
                <w:rFonts w:hint="eastAsia"/>
                <w:szCs w:val="20"/>
              </w:rPr>
              <w:t>、重大事故隐患涉及资料未及时归档的，一项扣</w:t>
            </w:r>
            <w:r>
              <w:rPr>
                <w:rFonts w:hint="eastAsia"/>
                <w:szCs w:val="20"/>
                <w:lang w:val="en-US" w:eastAsia="zh-CN"/>
              </w:rPr>
              <w:t>2</w:t>
            </w:r>
            <w:r>
              <w:rPr>
                <w:rFonts w:hint="eastAsia"/>
                <w:szCs w:val="20"/>
              </w:rPr>
              <w:t>分。</w:t>
            </w:r>
          </w:p>
          <w:p>
            <w:pPr>
              <w:keepNext w:val="0"/>
              <w:keepLines w:val="0"/>
              <w:pageBreakBefore w:val="0"/>
              <w:widowControl/>
              <w:kinsoku/>
              <w:overflowPunct/>
              <w:bidi w:val="0"/>
              <w:adjustRightInd w:val="0"/>
              <w:snapToGrid w:val="0"/>
              <w:spacing w:line="360" w:lineRule="exact"/>
              <w:ind w:right="0" w:rightChars="0"/>
              <w:textAlignment w:val="auto"/>
              <w:rPr>
                <w:rFonts w:ascii="宋体" w:hAnsi="宋体" w:eastAsia="宋体" w:cs="Times New Roman"/>
                <w:b/>
                <w:szCs w:val="21"/>
              </w:rPr>
            </w:pPr>
            <w:r>
              <w:rPr>
                <w:rFonts w:hint="eastAsia" w:ascii="宋体" w:hAnsi="宋体" w:eastAsia="宋体" w:cs="Times New Roman"/>
                <w:b/>
                <w:szCs w:val="21"/>
              </w:rPr>
              <w:t>否决项：</w:t>
            </w:r>
          </w:p>
          <w:p>
            <w:pPr>
              <w:keepNext w:val="0"/>
              <w:keepLines w:val="0"/>
              <w:pageBreakBefore w:val="0"/>
              <w:widowControl/>
              <w:kinsoku/>
              <w:overflowPunct/>
              <w:bidi w:val="0"/>
              <w:adjustRightInd w:val="0"/>
              <w:snapToGrid w:val="0"/>
              <w:spacing w:line="360" w:lineRule="exact"/>
              <w:ind w:right="0" w:rightChars="0"/>
              <w:textAlignment w:val="auto"/>
              <w:rPr>
                <w:rFonts w:ascii="宋体" w:hAnsi="宋体" w:eastAsia="宋体" w:cs="Times New Roman"/>
                <w:bCs/>
                <w:szCs w:val="21"/>
              </w:rPr>
            </w:pPr>
            <w:r>
              <w:rPr>
                <w:rFonts w:hint="eastAsia" w:ascii="宋体" w:hAnsi="宋体" w:eastAsia="宋体" w:cs="Times New Roman"/>
                <w:bCs/>
                <w:szCs w:val="21"/>
              </w:rPr>
              <w:t>根据相关标准，发现应定性为重大隐患而未定性的，</w:t>
            </w:r>
            <w:r>
              <w:rPr>
                <w:rFonts w:hint="eastAsia" w:asciiTheme="majorEastAsia" w:hAnsiTheme="majorEastAsia" w:eastAsiaTheme="majorEastAsia"/>
                <w:bCs/>
                <w:szCs w:val="21"/>
              </w:rPr>
              <w:t>验收评定不予通过。</w:t>
            </w:r>
          </w:p>
          <w:p>
            <w:pPr>
              <w:keepNext w:val="0"/>
              <w:keepLines w:val="0"/>
              <w:pageBreakBefore w:val="0"/>
              <w:widowControl/>
              <w:kinsoku/>
              <w:overflowPunct/>
              <w:bidi w:val="0"/>
              <w:adjustRightInd w:val="0"/>
              <w:snapToGrid w:val="0"/>
              <w:spacing w:line="360" w:lineRule="exact"/>
              <w:ind w:right="0" w:rightChars="0"/>
              <w:textAlignment w:val="auto"/>
              <w:rPr>
                <w:szCs w:val="20"/>
              </w:rPr>
            </w:pPr>
            <w:r>
              <w:rPr>
                <w:rFonts w:hint="eastAsia" w:asciiTheme="majorEastAsia" w:hAnsiTheme="majorEastAsia" w:eastAsiaTheme="majorEastAsia"/>
                <w:bCs/>
                <w:szCs w:val="21"/>
              </w:rPr>
              <w:t>重大隐患未按规定上报治理方案及治理结果的，验收评定不予通过。</w:t>
            </w:r>
          </w:p>
        </w:tc>
        <w:tc>
          <w:tcPr>
            <w:tcW w:w="2850" w:type="dxa"/>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b/>
                <w:szCs w:val="21"/>
              </w:rPr>
            </w:pPr>
            <w:r>
              <w:rPr>
                <w:rFonts w:hint="eastAsia" w:asciiTheme="majorEastAsia" w:hAnsiTheme="majorEastAsia" w:eastAsiaTheme="majorEastAsia"/>
                <w:b/>
                <w:szCs w:val="21"/>
              </w:rPr>
              <w:t>查资料、查信息系统：</w:t>
            </w:r>
          </w:p>
          <w:p>
            <w:pPr>
              <w:keepNext w:val="0"/>
              <w:keepLines w:val="0"/>
              <w:pageBreakBefore w:val="0"/>
              <w:kinsoku/>
              <w:overflowPunct/>
              <w:bidi w:val="0"/>
              <w:adjustRightInd w:val="0"/>
              <w:snapToGrid w:val="0"/>
              <w:spacing w:line="360" w:lineRule="exact"/>
              <w:ind w:right="0" w:rightChars="0"/>
              <w:textAlignment w:val="auto"/>
              <w:rPr>
                <w:szCs w:val="20"/>
              </w:rPr>
            </w:pPr>
            <w:r>
              <w:rPr>
                <w:rFonts w:hint="eastAsia"/>
                <w:szCs w:val="20"/>
              </w:rPr>
              <w:t>1、重大事故隐患档案（含排查记录、评估报告书、整改方案、复查验收记录等）。</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szCs w:val="20"/>
              </w:rPr>
              <w:t>2、</w:t>
            </w:r>
            <w:r>
              <w:rPr>
                <w:rFonts w:hint="eastAsia" w:asciiTheme="majorEastAsia" w:hAnsiTheme="majorEastAsia" w:eastAsiaTheme="majorEastAsia"/>
                <w:szCs w:val="21"/>
              </w:rPr>
              <w:t>隐患排查治理台账。</w:t>
            </w:r>
          </w:p>
          <w:p>
            <w:pPr>
              <w:keepNext w:val="0"/>
              <w:keepLines w:val="0"/>
              <w:pageBreakBefore w:val="0"/>
              <w:kinsoku/>
              <w:overflowPunct/>
              <w:bidi w:val="0"/>
              <w:adjustRightInd w:val="0"/>
              <w:snapToGrid w:val="0"/>
              <w:spacing w:line="360" w:lineRule="exact"/>
              <w:ind w:right="0" w:rightChars="0"/>
              <w:textAlignment w:val="auto"/>
              <w:rPr>
                <w:szCs w:val="20"/>
              </w:rPr>
            </w:pPr>
            <w:r>
              <w:rPr>
                <w:rFonts w:hint="eastAsia" w:asciiTheme="majorEastAsia" w:hAnsiTheme="majorEastAsia" w:eastAsiaTheme="majorEastAsia"/>
                <w:b/>
                <w:szCs w:val="21"/>
              </w:rPr>
              <w:t>现场检查：</w:t>
            </w:r>
          </w:p>
          <w:p>
            <w:pPr>
              <w:keepNext w:val="0"/>
              <w:keepLines w:val="0"/>
              <w:pageBreakBefore w:val="0"/>
              <w:kinsoku/>
              <w:overflowPunct/>
              <w:bidi w:val="0"/>
              <w:adjustRightInd w:val="0"/>
              <w:snapToGrid w:val="0"/>
              <w:spacing w:line="360" w:lineRule="exact"/>
              <w:ind w:right="0" w:rightChars="0"/>
              <w:textAlignment w:val="auto"/>
              <w:rPr>
                <w:rFonts w:hint="eastAsia"/>
                <w:szCs w:val="20"/>
              </w:rPr>
            </w:pPr>
            <w:r>
              <w:rPr>
                <w:rFonts w:hint="eastAsia"/>
                <w:szCs w:val="20"/>
              </w:rPr>
              <w:t>查看隐患治理情况及治理效果</w:t>
            </w:r>
          </w:p>
          <w:p>
            <w:pPr>
              <w:keepNext w:val="0"/>
              <w:keepLines w:val="0"/>
              <w:pageBreakBefore w:val="0"/>
              <w:kinsoku/>
              <w:overflowPunct/>
              <w:bidi w:val="0"/>
              <w:adjustRightInd w:val="0"/>
              <w:snapToGrid w:val="0"/>
              <w:spacing w:line="360" w:lineRule="exact"/>
              <w:ind w:right="0" w:rightChars="0"/>
              <w:textAlignment w:val="auto"/>
              <w:rPr>
                <w:rFonts w:hint="eastAsia" w:eastAsiaTheme="minorEastAsia"/>
                <w:szCs w:val="20"/>
                <w:lang w:eastAsia="zh-CN"/>
              </w:rPr>
            </w:pPr>
            <w:r>
              <w:rPr>
                <w:rFonts w:hint="eastAsia"/>
                <w:szCs w:val="20"/>
                <w:lang w:eastAsia="zh-CN"/>
              </w:rPr>
              <w:t>注：经核查，企业确实不存在重大隐患的，本项目按满分</w:t>
            </w:r>
            <w:r>
              <w:rPr>
                <w:rFonts w:hint="eastAsia"/>
                <w:szCs w:val="20"/>
                <w:lang w:val="en-US" w:eastAsia="zh-CN"/>
              </w:rPr>
              <w:t>50分计。</w:t>
            </w:r>
          </w:p>
        </w:tc>
        <w:tc>
          <w:tcPr>
            <w:tcW w:w="1615" w:type="dxa"/>
            <w:vAlign w:val="center"/>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p>
        </w:tc>
        <w:tc>
          <w:tcPr>
            <w:tcW w:w="865" w:type="dxa"/>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trPr>
        <w:tc>
          <w:tcPr>
            <w:tcW w:w="676" w:type="dxa"/>
            <w:vAlign w:val="center"/>
          </w:tcPr>
          <w:p>
            <w:pPr>
              <w:keepNext w:val="0"/>
              <w:keepLines w:val="0"/>
              <w:pageBreakBefore w:val="0"/>
              <w:widowControl/>
              <w:kinsoku/>
              <w:overflowPunct/>
              <w:bidi w:val="0"/>
              <w:adjustRightInd w:val="0"/>
              <w:snapToGrid w:val="0"/>
              <w:spacing w:line="360" w:lineRule="exact"/>
              <w:ind w:right="0" w:rightChars="0"/>
              <w:jc w:val="center"/>
              <w:textAlignment w:val="auto"/>
              <w:rPr>
                <w:rFonts w:asciiTheme="majorEastAsia" w:hAnsiTheme="majorEastAsia" w:eastAsiaTheme="majorEastAsia"/>
                <w:b/>
                <w:bCs/>
                <w:szCs w:val="21"/>
              </w:rPr>
            </w:pPr>
            <w:r>
              <w:rPr>
                <w:rFonts w:hint="eastAsia" w:asciiTheme="majorEastAsia" w:hAnsiTheme="majorEastAsia" w:eastAsiaTheme="majorEastAsia"/>
                <w:b/>
                <w:bCs/>
                <w:szCs w:val="21"/>
              </w:rPr>
              <w:t>信息化管理</w:t>
            </w:r>
          </w:p>
          <w:p>
            <w:pPr>
              <w:keepNext w:val="0"/>
              <w:keepLines w:val="0"/>
              <w:pageBreakBefore w:val="0"/>
              <w:widowControl/>
              <w:kinsoku/>
              <w:overflowPunct/>
              <w:bidi w:val="0"/>
              <w:adjustRightInd w:val="0"/>
              <w:snapToGrid w:val="0"/>
              <w:spacing w:line="360" w:lineRule="exact"/>
              <w:ind w:right="0" w:rightChars="0"/>
              <w:jc w:val="center"/>
              <w:textAlignment w:val="auto"/>
              <w:rPr>
                <w:rFonts w:asciiTheme="majorEastAsia" w:hAnsiTheme="majorEastAsia" w:eastAsiaTheme="majorEastAsia"/>
                <w:b/>
                <w:bCs/>
                <w:szCs w:val="21"/>
              </w:rPr>
            </w:pPr>
            <w:r>
              <w:rPr>
                <w:rFonts w:hint="eastAsia" w:asciiTheme="majorEastAsia" w:hAnsiTheme="majorEastAsia" w:eastAsiaTheme="majorEastAsia"/>
                <w:b/>
                <w:szCs w:val="21"/>
              </w:rPr>
              <w:t>（40分）</w:t>
            </w:r>
          </w:p>
        </w:tc>
        <w:tc>
          <w:tcPr>
            <w:tcW w:w="1499" w:type="dxa"/>
            <w:vAlign w:val="center"/>
          </w:tcPr>
          <w:p>
            <w:pPr>
              <w:keepNext w:val="0"/>
              <w:keepLines w:val="0"/>
              <w:pageBreakBefore w:val="0"/>
              <w:widowControl/>
              <w:kinsoku/>
              <w:overflowPunct/>
              <w:bidi w:val="0"/>
              <w:adjustRightInd w:val="0"/>
              <w:snapToGrid w:val="0"/>
              <w:spacing w:line="360" w:lineRule="exact"/>
              <w:ind w:right="0" w:rightChars="0"/>
              <w:textAlignment w:val="auto"/>
              <w:rPr>
                <w:rFonts w:hint="eastAsia" w:asciiTheme="majorEastAsia" w:hAnsiTheme="majorEastAsia" w:eastAsiaTheme="majorEastAsia"/>
                <w:szCs w:val="21"/>
              </w:rPr>
            </w:pPr>
            <w:r>
              <w:rPr>
                <w:rFonts w:hint="eastAsia" w:asciiTheme="majorEastAsia" w:hAnsiTheme="majorEastAsia" w:eastAsiaTheme="majorEastAsia"/>
                <w:szCs w:val="21"/>
              </w:rPr>
              <w:t>信息系统应用</w:t>
            </w:r>
          </w:p>
          <w:p>
            <w:pPr>
              <w:keepNext w:val="0"/>
              <w:keepLines w:val="0"/>
              <w:pageBreakBefore w:val="0"/>
              <w:widowControl/>
              <w:kinsoku/>
              <w:overflowPunct/>
              <w:bidi w:val="0"/>
              <w:adjustRightInd w:val="0"/>
              <w:snapToGrid w:val="0"/>
              <w:spacing w:line="360" w:lineRule="exact"/>
              <w:ind w:right="0" w:rightChars="0"/>
              <w:textAlignment w:val="auto"/>
              <w:rPr>
                <w:rFonts w:hint="eastAsia" w:asciiTheme="majorEastAsia" w:hAnsiTheme="majorEastAsia" w:eastAsiaTheme="majorEastAsia"/>
                <w:szCs w:val="21"/>
              </w:rPr>
            </w:pPr>
            <w:r>
              <w:rPr>
                <w:rFonts w:hint="eastAsia" w:asciiTheme="majorEastAsia" w:hAnsiTheme="majorEastAsia" w:eastAsiaTheme="majorEastAsia"/>
                <w:b w:val="0"/>
                <w:bCs/>
                <w:szCs w:val="21"/>
              </w:rPr>
              <w:t>（40分）</w:t>
            </w:r>
          </w:p>
        </w:tc>
        <w:tc>
          <w:tcPr>
            <w:tcW w:w="2792" w:type="dxa"/>
            <w:vAlign w:val="center"/>
          </w:tcPr>
          <w:p>
            <w:pPr>
              <w:keepNext w:val="0"/>
              <w:keepLines w:val="0"/>
              <w:pageBreakBefore w:val="0"/>
              <w:widowControl/>
              <w:numPr>
                <w:ilvl w:val="0"/>
                <w:numId w:val="9"/>
              </w:numPr>
              <w:kinsoku/>
              <w:overflowPunct/>
              <w:bidi w:val="0"/>
              <w:adjustRightInd w:val="0"/>
              <w:snapToGrid w:val="0"/>
              <w:spacing w:line="360" w:lineRule="exact"/>
              <w:ind w:right="0" w:rightChars="0"/>
              <w:textAlignment w:val="auto"/>
              <w:rPr>
                <w:szCs w:val="20"/>
              </w:rPr>
            </w:pPr>
            <w:r>
              <w:rPr>
                <w:rFonts w:hint="eastAsia"/>
                <w:szCs w:val="20"/>
              </w:rPr>
              <w:t>企业</w:t>
            </w:r>
            <w:r>
              <w:rPr>
                <w:rFonts w:hint="eastAsia"/>
                <w:szCs w:val="20"/>
                <w:lang w:eastAsia="zh-CN"/>
              </w:rPr>
              <w:t>“两个体系”实现信息化管理，相关信息系统中企业</w:t>
            </w:r>
            <w:r>
              <w:rPr>
                <w:rFonts w:hint="eastAsia"/>
                <w:szCs w:val="20"/>
              </w:rPr>
              <w:t>基本信息、“两个体系”相关组织机构及人员、设备设施库、作业活动库、相关管理制度、体系文件等信息填写完整。</w:t>
            </w:r>
          </w:p>
          <w:p>
            <w:pPr>
              <w:keepNext w:val="0"/>
              <w:keepLines w:val="0"/>
              <w:pageBreakBefore w:val="0"/>
              <w:widowControl/>
              <w:numPr>
                <w:ilvl w:val="0"/>
                <w:numId w:val="9"/>
              </w:numPr>
              <w:kinsoku/>
              <w:overflowPunct/>
              <w:bidi w:val="0"/>
              <w:adjustRightInd w:val="0"/>
              <w:snapToGrid w:val="0"/>
              <w:spacing w:line="360" w:lineRule="exact"/>
              <w:ind w:right="0" w:rightChars="0"/>
              <w:textAlignment w:val="auto"/>
              <w:rPr>
                <w:szCs w:val="20"/>
              </w:rPr>
            </w:pPr>
            <w:r>
              <w:rPr>
                <w:rFonts w:hint="eastAsia"/>
                <w:szCs w:val="20"/>
              </w:rPr>
              <w:t>信息系统中，</w:t>
            </w:r>
            <w:r>
              <w:rPr>
                <w:rFonts w:hint="eastAsia" w:asciiTheme="majorEastAsia" w:hAnsiTheme="majorEastAsia" w:eastAsiaTheme="majorEastAsia"/>
                <w:szCs w:val="21"/>
              </w:rPr>
              <w:t>风险分析、评价记录和隐患排查记录完整。</w:t>
            </w:r>
          </w:p>
          <w:p>
            <w:pPr>
              <w:keepNext w:val="0"/>
              <w:keepLines w:val="0"/>
              <w:pageBreakBefore w:val="0"/>
              <w:widowControl/>
              <w:numPr>
                <w:ilvl w:val="0"/>
                <w:numId w:val="9"/>
              </w:numPr>
              <w:kinsoku/>
              <w:overflowPunct/>
              <w:bidi w:val="0"/>
              <w:adjustRightInd w:val="0"/>
              <w:snapToGrid w:val="0"/>
              <w:spacing w:line="360" w:lineRule="exact"/>
              <w:ind w:right="0" w:rightChars="0"/>
              <w:textAlignment w:val="auto"/>
              <w:rPr>
                <w:szCs w:val="20"/>
              </w:rPr>
            </w:pPr>
            <w:r>
              <w:rPr>
                <w:rFonts w:hint="eastAsia"/>
                <w:szCs w:val="20"/>
              </w:rPr>
              <w:t>信息系统中，</w:t>
            </w:r>
            <w:r>
              <w:rPr>
                <w:rFonts w:hint="eastAsia" w:asciiTheme="majorEastAsia" w:hAnsiTheme="majorEastAsia" w:eastAsiaTheme="majorEastAsia"/>
                <w:szCs w:val="21"/>
              </w:rPr>
              <w:t>风险分级管控清单和隐患治理台账真实有效。</w:t>
            </w:r>
          </w:p>
          <w:p>
            <w:pPr>
              <w:keepNext w:val="0"/>
              <w:keepLines w:val="0"/>
              <w:pageBreakBefore w:val="0"/>
              <w:widowControl/>
              <w:numPr>
                <w:ilvl w:val="0"/>
                <w:numId w:val="9"/>
              </w:numPr>
              <w:kinsoku/>
              <w:overflowPunct/>
              <w:bidi w:val="0"/>
              <w:adjustRightInd w:val="0"/>
              <w:snapToGrid w:val="0"/>
              <w:spacing w:line="360" w:lineRule="exact"/>
              <w:ind w:right="0" w:rightChars="0"/>
              <w:textAlignment w:val="auto"/>
              <w:rPr>
                <w:szCs w:val="20"/>
              </w:rPr>
            </w:pPr>
            <w:r>
              <w:rPr>
                <w:rFonts w:hint="eastAsia"/>
                <w:szCs w:val="20"/>
              </w:rPr>
              <w:t>企业应用自建信息系统应与相关监管部门信息平台实现信息互联互通。</w:t>
            </w:r>
          </w:p>
        </w:tc>
        <w:tc>
          <w:tcPr>
            <w:tcW w:w="3877" w:type="dxa"/>
          </w:tcPr>
          <w:p>
            <w:pPr>
              <w:keepNext w:val="0"/>
              <w:keepLines w:val="0"/>
              <w:pageBreakBefore w:val="0"/>
              <w:widowControl/>
              <w:numPr>
                <w:ilvl w:val="0"/>
                <w:numId w:val="10"/>
              </w:numPr>
              <w:kinsoku/>
              <w:overflowPunct/>
              <w:bidi w:val="0"/>
              <w:adjustRightInd w:val="0"/>
              <w:snapToGrid w:val="0"/>
              <w:spacing w:line="360" w:lineRule="exact"/>
              <w:ind w:right="0" w:rightChars="0"/>
              <w:textAlignment w:val="auto"/>
              <w:rPr>
                <w:szCs w:val="20"/>
              </w:rPr>
            </w:pPr>
            <w:r>
              <w:rPr>
                <w:rFonts w:hint="eastAsia"/>
                <w:szCs w:val="20"/>
              </w:rPr>
              <w:t>信息系统中，企业基本信息、“两个体系”相关组织机构及人员、设备设施库、作业活动库、相关管理制度、体系文件等信息填写不完整的，缺一项扣2分。</w:t>
            </w:r>
          </w:p>
          <w:p>
            <w:pPr>
              <w:keepNext w:val="0"/>
              <w:keepLines w:val="0"/>
              <w:pageBreakBefore w:val="0"/>
              <w:widowControl/>
              <w:numPr>
                <w:ilvl w:val="0"/>
                <w:numId w:val="10"/>
              </w:numPr>
              <w:kinsoku/>
              <w:overflowPunct/>
              <w:bidi w:val="0"/>
              <w:adjustRightInd w:val="0"/>
              <w:snapToGrid w:val="0"/>
              <w:spacing w:line="360" w:lineRule="exact"/>
              <w:ind w:right="0" w:rightChars="0"/>
              <w:textAlignment w:val="auto"/>
              <w:rPr>
                <w:szCs w:val="20"/>
              </w:rPr>
            </w:pPr>
            <w:r>
              <w:rPr>
                <w:rFonts w:hint="eastAsia" w:asciiTheme="majorEastAsia" w:hAnsiTheme="majorEastAsia" w:eastAsiaTheme="majorEastAsia"/>
                <w:szCs w:val="21"/>
              </w:rPr>
              <w:t>风险分析、评价记录和隐患排查记录填写不完整的，</w:t>
            </w:r>
            <w:r>
              <w:rPr>
                <w:rFonts w:hint="eastAsia"/>
                <w:szCs w:val="20"/>
              </w:rPr>
              <w:t>缺一项扣2分。</w:t>
            </w:r>
          </w:p>
          <w:p>
            <w:pPr>
              <w:keepNext w:val="0"/>
              <w:keepLines w:val="0"/>
              <w:pageBreakBefore w:val="0"/>
              <w:widowControl/>
              <w:numPr>
                <w:ilvl w:val="0"/>
                <w:numId w:val="10"/>
              </w:numPr>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信息系统中未建立风险分级管控清单和隐患治理台账的，扣5分，相关数据内容缺失的，缺一项扣2分。</w:t>
            </w:r>
          </w:p>
          <w:p>
            <w:pPr>
              <w:keepNext w:val="0"/>
              <w:keepLines w:val="0"/>
              <w:pageBreakBefore w:val="0"/>
              <w:widowControl/>
              <w:numPr>
                <w:ilvl w:val="0"/>
                <w:numId w:val="10"/>
              </w:numPr>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szCs w:val="20"/>
              </w:rPr>
              <w:t>企业应用自建信息系统，未与相关监管部门信息平台实现信息互联互通的，扣20分。</w:t>
            </w:r>
          </w:p>
        </w:tc>
        <w:tc>
          <w:tcPr>
            <w:tcW w:w="2850" w:type="dxa"/>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b/>
                <w:szCs w:val="21"/>
              </w:rPr>
            </w:pPr>
            <w:r>
              <w:rPr>
                <w:rFonts w:hint="eastAsia" w:asciiTheme="majorEastAsia" w:hAnsiTheme="majorEastAsia" w:eastAsiaTheme="majorEastAsia"/>
                <w:b/>
                <w:szCs w:val="21"/>
              </w:rPr>
              <w:t>查资料、查信息系统：</w:t>
            </w:r>
          </w:p>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b/>
                <w:szCs w:val="21"/>
              </w:rPr>
            </w:pPr>
            <w:r>
              <w:rPr>
                <w:rFonts w:hint="eastAsia"/>
                <w:szCs w:val="20"/>
              </w:rPr>
              <w:t>登录相关系统（包括企业自建系统）对企业填报系统信息情况进行检查。</w:t>
            </w:r>
          </w:p>
        </w:tc>
        <w:tc>
          <w:tcPr>
            <w:tcW w:w="1615" w:type="dxa"/>
            <w:vAlign w:val="center"/>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p>
        </w:tc>
        <w:tc>
          <w:tcPr>
            <w:tcW w:w="865" w:type="dxa"/>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trPr>
        <w:tc>
          <w:tcPr>
            <w:tcW w:w="676" w:type="dxa"/>
            <w:vMerge w:val="restart"/>
            <w:vAlign w:val="center"/>
          </w:tcPr>
          <w:p>
            <w:pPr>
              <w:keepNext w:val="0"/>
              <w:keepLines w:val="0"/>
              <w:pageBreakBefore w:val="0"/>
              <w:widowControl/>
              <w:kinsoku/>
              <w:overflowPunct/>
              <w:bidi w:val="0"/>
              <w:adjustRightInd w:val="0"/>
              <w:snapToGrid w:val="0"/>
              <w:spacing w:line="360" w:lineRule="exact"/>
              <w:ind w:right="0" w:rightChars="0"/>
              <w:jc w:val="center"/>
              <w:textAlignment w:val="auto"/>
              <w:rPr>
                <w:rFonts w:asciiTheme="majorEastAsia" w:hAnsiTheme="majorEastAsia" w:eastAsiaTheme="majorEastAsia"/>
                <w:b/>
                <w:szCs w:val="21"/>
              </w:rPr>
            </w:pPr>
            <w:r>
              <w:rPr>
                <w:rFonts w:asciiTheme="majorEastAsia" w:hAnsiTheme="majorEastAsia" w:eastAsiaTheme="majorEastAsia"/>
                <w:b/>
                <w:szCs w:val="21"/>
              </w:rPr>
              <w:t>持续改进</w:t>
            </w:r>
            <w:r>
              <w:rPr>
                <w:rFonts w:hint="eastAsia" w:asciiTheme="majorEastAsia" w:hAnsiTheme="majorEastAsia" w:eastAsiaTheme="majorEastAsia"/>
                <w:b/>
                <w:szCs w:val="21"/>
              </w:rPr>
              <w:t>（60分）</w:t>
            </w:r>
          </w:p>
        </w:tc>
        <w:tc>
          <w:tcPr>
            <w:tcW w:w="1499" w:type="dxa"/>
            <w:vAlign w:val="center"/>
          </w:tcPr>
          <w:p>
            <w:pPr>
              <w:keepNext w:val="0"/>
              <w:keepLines w:val="0"/>
              <w:pageBreakBefore w:val="0"/>
              <w:widowControl/>
              <w:kinsoku/>
              <w:overflowPunct/>
              <w:bidi w:val="0"/>
              <w:adjustRightInd w:val="0"/>
              <w:snapToGrid w:val="0"/>
              <w:spacing w:line="360" w:lineRule="exact"/>
              <w:ind w:right="0" w:rightChars="0"/>
              <w:textAlignment w:val="auto"/>
              <w:rPr>
                <w:rFonts w:hint="eastAsia" w:asciiTheme="majorEastAsia" w:hAnsiTheme="majorEastAsia" w:eastAsiaTheme="majorEastAsia"/>
                <w:szCs w:val="21"/>
              </w:rPr>
            </w:pPr>
            <w:r>
              <w:rPr>
                <w:rFonts w:hint="eastAsia" w:asciiTheme="majorEastAsia" w:hAnsiTheme="majorEastAsia" w:eastAsiaTheme="majorEastAsia"/>
                <w:szCs w:val="21"/>
              </w:rPr>
              <w:t>评审</w:t>
            </w:r>
          </w:p>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（20分）</w:t>
            </w:r>
          </w:p>
        </w:tc>
        <w:tc>
          <w:tcPr>
            <w:tcW w:w="2792" w:type="dxa"/>
            <w:vAlign w:val="center"/>
          </w:tcPr>
          <w:p>
            <w:pPr>
              <w:keepNext w:val="0"/>
              <w:keepLines w:val="0"/>
              <w:pageBreakBefore w:val="0"/>
              <w:widowControl/>
              <w:kinsoku/>
              <w:overflowPunct/>
              <w:bidi w:val="0"/>
              <w:adjustRightInd w:val="0"/>
              <w:snapToGrid w:val="0"/>
              <w:spacing w:line="360" w:lineRule="exact"/>
              <w:ind w:right="0" w:rightChars="0"/>
              <w:textAlignment w:val="auto"/>
              <w:rPr>
                <w:szCs w:val="20"/>
              </w:rPr>
            </w:pPr>
            <w:r>
              <w:rPr>
                <w:rFonts w:hint="eastAsia"/>
                <w:szCs w:val="20"/>
              </w:rPr>
              <w:t>企业每年至少对“两个体系”建设情况进行一次系统性评审。</w:t>
            </w:r>
          </w:p>
        </w:tc>
        <w:tc>
          <w:tcPr>
            <w:tcW w:w="3877" w:type="dxa"/>
          </w:tcPr>
          <w:p>
            <w:pPr>
              <w:keepNext w:val="0"/>
              <w:keepLines w:val="0"/>
              <w:pageBreakBefore w:val="0"/>
              <w:widowControl/>
              <w:kinsoku/>
              <w:overflowPunct/>
              <w:bidi w:val="0"/>
              <w:adjustRightInd w:val="0"/>
              <w:snapToGrid w:val="0"/>
              <w:spacing w:line="360" w:lineRule="exact"/>
              <w:ind w:right="0" w:rightChars="0"/>
              <w:textAlignment w:val="auto"/>
              <w:rPr>
                <w:szCs w:val="20"/>
              </w:rPr>
            </w:pPr>
            <w:r>
              <w:rPr>
                <w:rFonts w:hint="eastAsia"/>
                <w:szCs w:val="20"/>
              </w:rPr>
              <w:t>1、</w:t>
            </w:r>
            <w:r>
              <w:rPr>
                <w:rFonts w:hint="eastAsia"/>
                <w:szCs w:val="20"/>
                <w:lang w:eastAsia="zh-CN"/>
              </w:rPr>
              <w:t>每年</w:t>
            </w:r>
            <w:r>
              <w:rPr>
                <w:szCs w:val="20"/>
              </w:rPr>
              <w:t>未</w:t>
            </w:r>
            <w:r>
              <w:rPr>
                <w:rFonts w:hint="eastAsia"/>
                <w:szCs w:val="20"/>
                <w:lang w:eastAsia="zh-CN"/>
              </w:rPr>
              <w:t>至少</w:t>
            </w:r>
            <w:r>
              <w:rPr>
                <w:szCs w:val="20"/>
              </w:rPr>
              <w:t>进行</w:t>
            </w:r>
            <w:r>
              <w:rPr>
                <w:rFonts w:hint="eastAsia"/>
                <w:szCs w:val="20"/>
                <w:lang w:eastAsia="zh-CN"/>
              </w:rPr>
              <w:t>一次风险分级管控</w:t>
            </w:r>
            <w:r>
              <w:rPr>
                <w:rFonts w:asciiTheme="majorEastAsia" w:hAnsiTheme="majorEastAsia" w:eastAsiaTheme="majorEastAsia"/>
                <w:szCs w:val="21"/>
              </w:rPr>
              <w:t>体系运行情况评审</w:t>
            </w:r>
            <w:r>
              <w:rPr>
                <w:rFonts w:hint="eastAsia" w:asciiTheme="majorEastAsia" w:hAnsiTheme="majorEastAsia" w:eastAsiaTheme="majorEastAsia"/>
                <w:szCs w:val="21"/>
                <w:lang w:eastAsia="zh-CN"/>
              </w:rPr>
              <w:t>的</w:t>
            </w:r>
            <w:r>
              <w:rPr>
                <w:rFonts w:hint="eastAsia"/>
                <w:szCs w:val="20"/>
              </w:rPr>
              <w:t>，</w:t>
            </w:r>
            <w:r>
              <w:rPr>
                <w:szCs w:val="20"/>
              </w:rPr>
              <w:t>扣</w:t>
            </w:r>
            <w:r>
              <w:rPr>
                <w:rFonts w:hint="eastAsia"/>
                <w:szCs w:val="20"/>
                <w:lang w:val="en-US" w:eastAsia="zh-CN"/>
              </w:rPr>
              <w:t>10</w:t>
            </w:r>
            <w:r>
              <w:rPr>
                <w:rFonts w:hint="eastAsia"/>
                <w:szCs w:val="20"/>
              </w:rPr>
              <w:t>分。</w:t>
            </w:r>
          </w:p>
          <w:p>
            <w:pPr>
              <w:keepNext w:val="0"/>
              <w:keepLines w:val="0"/>
              <w:pageBreakBefore w:val="0"/>
              <w:widowControl/>
              <w:kinsoku/>
              <w:overflowPunct/>
              <w:bidi w:val="0"/>
              <w:adjustRightInd w:val="0"/>
              <w:snapToGrid w:val="0"/>
              <w:spacing w:line="360" w:lineRule="exact"/>
              <w:ind w:right="0" w:rightChars="0"/>
              <w:textAlignment w:val="auto"/>
              <w:rPr>
                <w:szCs w:val="20"/>
              </w:rPr>
            </w:pPr>
            <w:r>
              <w:rPr>
                <w:rFonts w:hint="eastAsia"/>
                <w:szCs w:val="20"/>
              </w:rPr>
              <w:t>2、</w:t>
            </w:r>
            <w:r>
              <w:rPr>
                <w:rFonts w:hint="eastAsia"/>
                <w:szCs w:val="20"/>
                <w:lang w:eastAsia="zh-CN"/>
              </w:rPr>
              <w:t>每年</w:t>
            </w:r>
            <w:r>
              <w:rPr>
                <w:szCs w:val="20"/>
              </w:rPr>
              <w:t>未</w:t>
            </w:r>
            <w:r>
              <w:rPr>
                <w:rFonts w:hint="eastAsia"/>
                <w:szCs w:val="20"/>
                <w:lang w:eastAsia="zh-CN"/>
              </w:rPr>
              <w:t>至少</w:t>
            </w:r>
            <w:r>
              <w:rPr>
                <w:szCs w:val="20"/>
              </w:rPr>
              <w:t>进行</w:t>
            </w:r>
            <w:r>
              <w:rPr>
                <w:rFonts w:hint="eastAsia"/>
                <w:szCs w:val="20"/>
                <w:lang w:eastAsia="zh-CN"/>
              </w:rPr>
              <w:t>一次</w:t>
            </w:r>
            <w:r>
              <w:rPr>
                <w:rFonts w:hint="eastAsia" w:asciiTheme="majorEastAsia" w:hAnsiTheme="majorEastAsia" w:eastAsiaTheme="majorEastAsia"/>
                <w:szCs w:val="21"/>
              </w:rPr>
              <w:t>隐患</w:t>
            </w:r>
            <w:r>
              <w:rPr>
                <w:rFonts w:asciiTheme="majorEastAsia" w:hAnsiTheme="majorEastAsia" w:eastAsiaTheme="majorEastAsia"/>
                <w:szCs w:val="21"/>
              </w:rPr>
              <w:t>排查治理体系运行情况评审</w:t>
            </w:r>
            <w:r>
              <w:rPr>
                <w:rFonts w:hint="eastAsia" w:asciiTheme="majorEastAsia" w:hAnsiTheme="majorEastAsia" w:eastAsiaTheme="majorEastAsia"/>
                <w:szCs w:val="21"/>
                <w:lang w:eastAsia="zh-CN"/>
              </w:rPr>
              <w:t>的</w:t>
            </w:r>
            <w:r>
              <w:rPr>
                <w:rFonts w:hint="eastAsia" w:asciiTheme="majorEastAsia" w:hAnsiTheme="majorEastAsia" w:eastAsiaTheme="majorEastAsia"/>
                <w:szCs w:val="21"/>
              </w:rPr>
              <w:t>，</w:t>
            </w:r>
            <w:r>
              <w:rPr>
                <w:rFonts w:asciiTheme="majorEastAsia" w:hAnsiTheme="majorEastAsia" w:eastAsiaTheme="majorEastAsia"/>
                <w:szCs w:val="21"/>
              </w:rPr>
              <w:t>扣</w:t>
            </w:r>
            <w:r>
              <w:rPr>
                <w:rFonts w:hint="eastAsia" w:asciiTheme="majorEastAsia" w:hAnsiTheme="majorEastAsia" w:eastAsiaTheme="majorEastAsia"/>
                <w:szCs w:val="21"/>
                <w:lang w:val="en-US" w:eastAsia="zh-CN"/>
              </w:rPr>
              <w:t>10</w:t>
            </w:r>
            <w:r>
              <w:rPr>
                <w:rFonts w:hint="eastAsia" w:asciiTheme="majorEastAsia" w:hAnsiTheme="majorEastAsia" w:eastAsiaTheme="majorEastAsia"/>
                <w:szCs w:val="21"/>
              </w:rPr>
              <w:t>分。</w:t>
            </w:r>
          </w:p>
        </w:tc>
        <w:tc>
          <w:tcPr>
            <w:tcW w:w="2850" w:type="dxa"/>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b/>
                <w:szCs w:val="21"/>
              </w:rPr>
            </w:pPr>
            <w:r>
              <w:rPr>
                <w:rFonts w:hint="eastAsia" w:asciiTheme="majorEastAsia" w:hAnsiTheme="majorEastAsia" w:eastAsiaTheme="majorEastAsia"/>
                <w:b/>
                <w:szCs w:val="21"/>
              </w:rPr>
              <w:t>查资料、查信息系统：</w:t>
            </w:r>
          </w:p>
          <w:p>
            <w:pPr>
              <w:keepNext w:val="0"/>
              <w:keepLines w:val="0"/>
              <w:pageBreakBefore w:val="0"/>
              <w:kinsoku/>
              <w:overflowPunct/>
              <w:bidi w:val="0"/>
              <w:adjustRightInd w:val="0"/>
              <w:snapToGrid w:val="0"/>
              <w:spacing w:line="360" w:lineRule="exact"/>
              <w:ind w:right="0" w:rightChars="0"/>
              <w:textAlignment w:val="auto"/>
              <w:rPr>
                <w:rFonts w:hint="eastAsia" w:asciiTheme="majorEastAsia" w:hAnsiTheme="majorEastAsia" w:eastAsiaTheme="majorEastAsia"/>
                <w:szCs w:val="21"/>
              </w:rPr>
            </w:pPr>
            <w:r>
              <w:rPr>
                <w:rFonts w:hint="eastAsia" w:asciiTheme="majorEastAsia" w:hAnsiTheme="majorEastAsia" w:eastAsiaTheme="majorEastAsia"/>
                <w:szCs w:val="21"/>
              </w:rPr>
              <w:t>评审记录或评审报告。</w:t>
            </w:r>
          </w:p>
          <w:p>
            <w:pPr>
              <w:keepNext w:val="0"/>
              <w:keepLines w:val="0"/>
              <w:pageBreakBefore w:val="0"/>
              <w:kinsoku/>
              <w:overflowPunct/>
              <w:bidi w:val="0"/>
              <w:adjustRightInd w:val="0"/>
              <w:snapToGrid w:val="0"/>
              <w:spacing w:line="360" w:lineRule="exact"/>
              <w:ind w:right="0" w:rightChars="0"/>
              <w:textAlignment w:val="auto"/>
              <w:rPr>
                <w:rFonts w:hint="eastAsia" w:asciiTheme="majorEastAsia" w:hAnsiTheme="majorEastAsia" w:eastAsiaTheme="majorEastAsia"/>
                <w:szCs w:val="21"/>
              </w:rPr>
            </w:pPr>
            <w:r>
              <w:rPr>
                <w:rFonts w:hint="eastAsia"/>
                <w:szCs w:val="20"/>
                <w:lang w:eastAsia="zh-CN"/>
              </w:rPr>
              <w:t>注：企业进行首次“两个体系”建设评定验收时，本项目按满分</w:t>
            </w:r>
            <w:r>
              <w:rPr>
                <w:rFonts w:hint="eastAsia"/>
                <w:szCs w:val="20"/>
                <w:lang w:val="en-US" w:eastAsia="zh-CN"/>
              </w:rPr>
              <w:t>20分计。</w:t>
            </w:r>
          </w:p>
        </w:tc>
        <w:tc>
          <w:tcPr>
            <w:tcW w:w="1615" w:type="dxa"/>
            <w:vAlign w:val="center"/>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p>
        </w:tc>
        <w:tc>
          <w:tcPr>
            <w:tcW w:w="865" w:type="dxa"/>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Merge w:val="continue"/>
            <w:vAlign w:val="center"/>
          </w:tcPr>
          <w:p>
            <w:pPr>
              <w:keepNext w:val="0"/>
              <w:keepLines w:val="0"/>
              <w:pageBreakBefore w:val="0"/>
              <w:widowControl/>
              <w:kinsoku/>
              <w:overflowPunct/>
              <w:bidi w:val="0"/>
              <w:adjustRightInd w:val="0"/>
              <w:snapToGrid w:val="0"/>
              <w:spacing w:line="360" w:lineRule="exact"/>
              <w:ind w:right="0" w:rightChars="0"/>
              <w:jc w:val="center"/>
              <w:textAlignment w:val="auto"/>
              <w:rPr>
                <w:rFonts w:asciiTheme="majorEastAsia" w:hAnsiTheme="majorEastAsia" w:eastAsiaTheme="majorEastAsia"/>
                <w:b/>
                <w:szCs w:val="21"/>
              </w:rPr>
            </w:pPr>
          </w:p>
        </w:tc>
        <w:tc>
          <w:tcPr>
            <w:tcW w:w="1499" w:type="dxa"/>
            <w:vAlign w:val="center"/>
          </w:tcPr>
          <w:p>
            <w:pPr>
              <w:keepNext w:val="0"/>
              <w:keepLines w:val="0"/>
              <w:pageBreakBefore w:val="0"/>
              <w:widowControl/>
              <w:kinsoku/>
              <w:overflowPunct/>
              <w:bidi w:val="0"/>
              <w:adjustRightInd w:val="0"/>
              <w:snapToGrid w:val="0"/>
              <w:spacing w:line="360" w:lineRule="exact"/>
              <w:ind w:right="0" w:rightChars="0"/>
              <w:textAlignment w:val="auto"/>
              <w:rPr>
                <w:rFonts w:hint="eastAsia" w:asciiTheme="majorEastAsia" w:hAnsiTheme="majorEastAsia" w:eastAsiaTheme="majorEastAsia"/>
                <w:szCs w:val="21"/>
              </w:rPr>
            </w:pPr>
            <w:r>
              <w:rPr>
                <w:rFonts w:hint="eastAsia" w:asciiTheme="majorEastAsia" w:hAnsiTheme="majorEastAsia" w:eastAsiaTheme="majorEastAsia"/>
                <w:szCs w:val="21"/>
              </w:rPr>
              <w:t>更新</w:t>
            </w:r>
          </w:p>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(30分)</w:t>
            </w:r>
          </w:p>
        </w:tc>
        <w:tc>
          <w:tcPr>
            <w:tcW w:w="2792" w:type="dxa"/>
            <w:vAlign w:val="center"/>
          </w:tcPr>
          <w:p>
            <w:pPr>
              <w:keepNext w:val="0"/>
              <w:keepLines w:val="0"/>
              <w:pageBreakBefore w:val="0"/>
              <w:widowControl/>
              <w:kinsoku/>
              <w:overflowPunct/>
              <w:bidi w:val="0"/>
              <w:adjustRightInd w:val="0"/>
              <w:snapToGrid w:val="0"/>
              <w:spacing w:line="360" w:lineRule="exact"/>
              <w:ind w:right="0" w:rightChars="0"/>
              <w:textAlignment w:val="auto"/>
              <w:rPr>
                <w:szCs w:val="20"/>
              </w:rPr>
            </w:pPr>
            <w:r>
              <w:rPr>
                <w:rFonts w:hint="eastAsia"/>
                <w:szCs w:val="20"/>
              </w:rPr>
              <w:t>1、企业应适时、及时针对工艺、设备、人员等重大变更开展危险源辨识、风险评价，更新风险信息与风险管控措施，编制、更新风险管控清单。</w:t>
            </w:r>
          </w:p>
          <w:p>
            <w:pPr>
              <w:keepNext w:val="0"/>
              <w:keepLines w:val="0"/>
              <w:pageBreakBefore w:val="0"/>
              <w:widowControl/>
              <w:kinsoku/>
              <w:overflowPunct/>
              <w:bidi w:val="0"/>
              <w:adjustRightInd w:val="0"/>
              <w:snapToGrid w:val="0"/>
              <w:spacing w:line="360" w:lineRule="exact"/>
              <w:ind w:right="0" w:rightChars="0"/>
              <w:textAlignment w:val="auto"/>
              <w:rPr>
                <w:szCs w:val="20"/>
              </w:rPr>
            </w:pPr>
            <w:r>
              <w:rPr>
                <w:rFonts w:hint="eastAsia"/>
                <w:szCs w:val="20"/>
              </w:rPr>
              <w:t>2、应根据风险管控措施的变化情况或法律法规的变化及时更新隐患排查清单，并按清单编制排查表，及时实施隐患排查。</w:t>
            </w:r>
          </w:p>
        </w:tc>
        <w:tc>
          <w:tcPr>
            <w:tcW w:w="3877" w:type="dxa"/>
          </w:tcPr>
          <w:p>
            <w:pPr>
              <w:keepNext w:val="0"/>
              <w:keepLines w:val="0"/>
              <w:pageBreakBefore w:val="0"/>
              <w:widowControl/>
              <w:kinsoku/>
              <w:overflowPunct/>
              <w:bidi w:val="0"/>
              <w:adjustRightInd w:val="0"/>
              <w:snapToGrid w:val="0"/>
              <w:spacing w:line="360" w:lineRule="exact"/>
              <w:ind w:right="0" w:rightChars="0"/>
              <w:textAlignment w:val="auto"/>
              <w:rPr>
                <w:szCs w:val="20"/>
              </w:rPr>
            </w:pPr>
            <w:r>
              <w:rPr>
                <w:rFonts w:hint="eastAsia"/>
                <w:szCs w:val="20"/>
              </w:rPr>
              <w:t>1、未适时、及时对</w:t>
            </w:r>
            <w:r>
              <w:rPr>
                <w:szCs w:val="20"/>
              </w:rPr>
              <w:t>变更过程的风险进行危险源辨识</w:t>
            </w:r>
            <w:r>
              <w:rPr>
                <w:rFonts w:hint="eastAsia"/>
                <w:szCs w:val="20"/>
              </w:rPr>
              <w:t>、</w:t>
            </w:r>
            <w:r>
              <w:rPr>
                <w:szCs w:val="20"/>
              </w:rPr>
              <w:t>风险评价</w:t>
            </w:r>
            <w:r>
              <w:rPr>
                <w:rFonts w:hint="eastAsia"/>
                <w:szCs w:val="20"/>
              </w:rPr>
              <w:t>，</w:t>
            </w:r>
            <w:r>
              <w:rPr>
                <w:rFonts w:hint="eastAsia"/>
                <w:szCs w:val="20"/>
                <w:lang w:eastAsia="zh-CN"/>
              </w:rPr>
              <w:t>发现</w:t>
            </w:r>
            <w:r>
              <w:rPr>
                <w:szCs w:val="20"/>
              </w:rPr>
              <w:t>一项扣</w:t>
            </w:r>
            <w:r>
              <w:rPr>
                <w:rFonts w:hint="eastAsia"/>
                <w:szCs w:val="20"/>
              </w:rPr>
              <w:t>5分。</w:t>
            </w:r>
          </w:p>
          <w:p>
            <w:pPr>
              <w:keepNext w:val="0"/>
              <w:keepLines w:val="0"/>
              <w:pageBreakBefore w:val="0"/>
              <w:widowControl/>
              <w:kinsoku/>
              <w:overflowPunct/>
              <w:bidi w:val="0"/>
              <w:adjustRightInd w:val="0"/>
              <w:snapToGrid w:val="0"/>
              <w:spacing w:line="360" w:lineRule="exact"/>
              <w:ind w:right="0" w:rightChars="0"/>
              <w:textAlignment w:val="auto"/>
              <w:rPr>
                <w:szCs w:val="20"/>
              </w:rPr>
            </w:pPr>
            <w:r>
              <w:rPr>
                <w:rFonts w:hint="eastAsia"/>
                <w:szCs w:val="20"/>
              </w:rPr>
              <w:t>2、未</w:t>
            </w:r>
            <w:r>
              <w:rPr>
                <w:rFonts w:hint="eastAsia"/>
                <w:szCs w:val="20"/>
                <w:lang w:eastAsia="zh-CN"/>
              </w:rPr>
              <w:t>及时</w:t>
            </w:r>
            <w:r>
              <w:rPr>
                <w:rFonts w:hint="eastAsia"/>
                <w:szCs w:val="20"/>
              </w:rPr>
              <w:t>更新风险管控清单、或控制措施实效性不强，</w:t>
            </w:r>
            <w:r>
              <w:rPr>
                <w:rFonts w:hint="eastAsia"/>
                <w:szCs w:val="20"/>
                <w:lang w:eastAsia="zh-CN"/>
              </w:rPr>
              <w:t>发现</w:t>
            </w:r>
            <w:r>
              <w:rPr>
                <w:rFonts w:hint="eastAsia"/>
                <w:szCs w:val="20"/>
              </w:rPr>
              <w:t>一项扣5分。</w:t>
            </w:r>
          </w:p>
          <w:p>
            <w:pPr>
              <w:keepNext w:val="0"/>
              <w:keepLines w:val="0"/>
              <w:pageBreakBefore w:val="0"/>
              <w:widowControl/>
              <w:kinsoku/>
              <w:overflowPunct/>
              <w:bidi w:val="0"/>
              <w:adjustRightInd w:val="0"/>
              <w:snapToGrid w:val="0"/>
              <w:spacing w:line="360" w:lineRule="exact"/>
              <w:ind w:right="0" w:rightChars="0"/>
              <w:textAlignment w:val="auto"/>
              <w:rPr>
                <w:szCs w:val="20"/>
              </w:rPr>
            </w:pPr>
            <w:r>
              <w:rPr>
                <w:rFonts w:hint="eastAsia"/>
                <w:szCs w:val="20"/>
              </w:rPr>
              <w:t>3、未根据风险变更情况及法律法规的变化及时更新隐患排查内容，</w:t>
            </w:r>
            <w:r>
              <w:rPr>
                <w:rFonts w:hint="eastAsia"/>
                <w:szCs w:val="20"/>
                <w:lang w:eastAsia="zh-CN"/>
              </w:rPr>
              <w:t>发现</w:t>
            </w:r>
            <w:r>
              <w:rPr>
                <w:rFonts w:hint="eastAsia"/>
                <w:szCs w:val="20"/>
              </w:rPr>
              <w:t>一项</w:t>
            </w:r>
            <w:r>
              <w:rPr>
                <w:szCs w:val="20"/>
              </w:rPr>
              <w:t>扣</w:t>
            </w:r>
            <w:r>
              <w:rPr>
                <w:rFonts w:hint="eastAsia"/>
                <w:szCs w:val="20"/>
              </w:rPr>
              <w:t>5分。</w:t>
            </w:r>
          </w:p>
          <w:p>
            <w:pPr>
              <w:keepNext w:val="0"/>
              <w:keepLines w:val="0"/>
              <w:pageBreakBefore w:val="0"/>
              <w:widowControl/>
              <w:kinsoku/>
              <w:overflowPunct/>
              <w:bidi w:val="0"/>
              <w:adjustRightInd w:val="0"/>
              <w:snapToGrid w:val="0"/>
              <w:spacing w:line="360" w:lineRule="exact"/>
              <w:ind w:right="0" w:rightChars="0"/>
              <w:textAlignment w:val="auto"/>
              <w:rPr>
                <w:szCs w:val="20"/>
              </w:rPr>
            </w:pPr>
            <w:r>
              <w:rPr>
                <w:rFonts w:hint="eastAsia"/>
                <w:szCs w:val="20"/>
              </w:rPr>
              <w:t>4、未根据更新的隐患排查表实施隐患排查，</w:t>
            </w:r>
            <w:r>
              <w:rPr>
                <w:rFonts w:hint="eastAsia"/>
                <w:szCs w:val="20"/>
                <w:lang w:eastAsia="zh-CN"/>
              </w:rPr>
              <w:t>发现</w:t>
            </w:r>
            <w:r>
              <w:rPr>
                <w:rFonts w:hint="eastAsia"/>
                <w:szCs w:val="20"/>
              </w:rPr>
              <w:t>一项扣5分。</w:t>
            </w:r>
          </w:p>
        </w:tc>
        <w:tc>
          <w:tcPr>
            <w:tcW w:w="2850" w:type="dxa"/>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b/>
                <w:szCs w:val="21"/>
              </w:rPr>
            </w:pPr>
            <w:r>
              <w:rPr>
                <w:rFonts w:hint="eastAsia" w:asciiTheme="majorEastAsia" w:hAnsiTheme="majorEastAsia" w:eastAsiaTheme="majorEastAsia"/>
                <w:b/>
                <w:szCs w:val="21"/>
              </w:rPr>
              <w:t>查资料、查信息系统：</w:t>
            </w:r>
          </w:p>
          <w:p>
            <w:pPr>
              <w:keepNext w:val="0"/>
              <w:keepLines w:val="0"/>
              <w:pageBreakBefore w:val="0"/>
              <w:widowControl/>
              <w:kinsoku/>
              <w:overflowPunct/>
              <w:bidi w:val="0"/>
              <w:adjustRightInd w:val="0"/>
              <w:snapToGrid w:val="0"/>
              <w:spacing w:line="360" w:lineRule="exact"/>
              <w:ind w:right="0" w:rightChars="0"/>
              <w:textAlignment w:val="auto"/>
              <w:rPr>
                <w:szCs w:val="20"/>
              </w:rPr>
            </w:pPr>
            <w:r>
              <w:rPr>
                <w:rFonts w:hint="eastAsia"/>
                <w:szCs w:val="20"/>
              </w:rPr>
              <w:t>1、更新后的危险源辨识、风险评价记录</w:t>
            </w:r>
          </w:p>
          <w:p>
            <w:pPr>
              <w:keepNext w:val="0"/>
              <w:keepLines w:val="0"/>
              <w:pageBreakBefore w:val="0"/>
              <w:widowControl/>
              <w:kinsoku/>
              <w:overflowPunct/>
              <w:bidi w:val="0"/>
              <w:adjustRightInd w:val="0"/>
              <w:snapToGrid w:val="0"/>
              <w:spacing w:line="360" w:lineRule="exact"/>
              <w:ind w:right="0" w:rightChars="0"/>
              <w:textAlignment w:val="auto"/>
              <w:rPr>
                <w:szCs w:val="20"/>
              </w:rPr>
            </w:pPr>
            <w:r>
              <w:rPr>
                <w:rFonts w:hint="eastAsia"/>
                <w:szCs w:val="20"/>
              </w:rPr>
              <w:t>2、风险管控清单</w:t>
            </w:r>
          </w:p>
          <w:p>
            <w:pPr>
              <w:keepNext w:val="0"/>
              <w:keepLines w:val="0"/>
              <w:pageBreakBefore w:val="0"/>
              <w:widowControl/>
              <w:kinsoku/>
              <w:overflowPunct/>
              <w:bidi w:val="0"/>
              <w:adjustRightInd w:val="0"/>
              <w:snapToGrid w:val="0"/>
              <w:spacing w:line="360" w:lineRule="exact"/>
              <w:ind w:right="0" w:rightChars="0"/>
              <w:textAlignment w:val="auto"/>
              <w:rPr>
                <w:szCs w:val="20"/>
              </w:rPr>
            </w:pPr>
            <w:r>
              <w:rPr>
                <w:rFonts w:hint="eastAsia"/>
                <w:szCs w:val="20"/>
              </w:rPr>
              <w:t>3、</w:t>
            </w:r>
            <w:r>
              <w:rPr>
                <w:szCs w:val="20"/>
              </w:rPr>
              <w:t>隐患排查清单</w:t>
            </w:r>
          </w:p>
          <w:p>
            <w:pPr>
              <w:keepNext w:val="0"/>
              <w:keepLines w:val="0"/>
              <w:pageBreakBefore w:val="0"/>
              <w:widowControl/>
              <w:kinsoku/>
              <w:overflowPunct/>
              <w:bidi w:val="0"/>
              <w:adjustRightInd w:val="0"/>
              <w:snapToGrid w:val="0"/>
              <w:spacing w:line="360" w:lineRule="exact"/>
              <w:ind w:right="0" w:rightChars="0"/>
              <w:textAlignment w:val="auto"/>
              <w:rPr>
                <w:szCs w:val="20"/>
              </w:rPr>
            </w:pPr>
            <w:r>
              <w:rPr>
                <w:rFonts w:hint="eastAsia"/>
                <w:szCs w:val="20"/>
              </w:rPr>
              <w:t>4、隐患排查记录及治理台账</w:t>
            </w:r>
          </w:p>
          <w:p>
            <w:pPr>
              <w:keepNext w:val="0"/>
              <w:keepLines w:val="0"/>
              <w:pageBreakBefore w:val="0"/>
              <w:widowControl/>
              <w:kinsoku/>
              <w:overflowPunct/>
              <w:bidi w:val="0"/>
              <w:adjustRightInd w:val="0"/>
              <w:snapToGrid w:val="0"/>
              <w:spacing w:line="360" w:lineRule="exact"/>
              <w:ind w:right="0" w:rightChars="0"/>
              <w:textAlignment w:val="auto"/>
              <w:rPr>
                <w:b/>
                <w:szCs w:val="20"/>
              </w:rPr>
            </w:pPr>
            <w:r>
              <w:rPr>
                <w:rFonts w:hint="eastAsia"/>
                <w:b/>
                <w:szCs w:val="20"/>
              </w:rPr>
              <w:t>现场检查：</w:t>
            </w:r>
          </w:p>
          <w:p>
            <w:pPr>
              <w:keepNext w:val="0"/>
              <w:keepLines w:val="0"/>
              <w:pageBreakBefore w:val="0"/>
              <w:widowControl/>
              <w:kinsoku/>
              <w:overflowPunct/>
              <w:bidi w:val="0"/>
              <w:adjustRightInd w:val="0"/>
              <w:snapToGrid w:val="0"/>
              <w:spacing w:line="360" w:lineRule="exact"/>
              <w:ind w:right="0" w:rightChars="0"/>
              <w:textAlignment w:val="auto"/>
              <w:rPr>
                <w:rFonts w:hint="eastAsia"/>
                <w:szCs w:val="20"/>
                <w:lang w:eastAsia="zh-CN"/>
              </w:rPr>
            </w:pPr>
            <w:r>
              <w:rPr>
                <w:rFonts w:hint="eastAsia"/>
                <w:szCs w:val="20"/>
              </w:rPr>
              <w:t>现场核查风险管控和隐患排查治理变更情况</w:t>
            </w:r>
            <w:r>
              <w:rPr>
                <w:rFonts w:hint="eastAsia"/>
                <w:szCs w:val="20"/>
                <w:lang w:eastAsia="zh-CN"/>
              </w:rPr>
              <w:t>。</w:t>
            </w:r>
          </w:p>
          <w:p>
            <w:pPr>
              <w:keepNext w:val="0"/>
              <w:keepLines w:val="0"/>
              <w:pageBreakBefore w:val="0"/>
              <w:widowControl/>
              <w:kinsoku/>
              <w:overflowPunct/>
              <w:bidi w:val="0"/>
              <w:adjustRightInd w:val="0"/>
              <w:snapToGrid w:val="0"/>
              <w:spacing w:line="360" w:lineRule="exact"/>
              <w:ind w:right="0" w:rightChars="0"/>
              <w:textAlignment w:val="auto"/>
              <w:rPr>
                <w:rFonts w:hint="eastAsia"/>
                <w:szCs w:val="20"/>
                <w:lang w:eastAsia="zh-CN"/>
              </w:rPr>
            </w:pPr>
            <w:r>
              <w:rPr>
                <w:rFonts w:hint="eastAsia"/>
                <w:szCs w:val="20"/>
                <w:lang w:eastAsia="zh-CN"/>
              </w:rPr>
              <w:t>注：企业进行首次“两个体系”建设评定验收时，本项目按满分</w:t>
            </w:r>
            <w:r>
              <w:rPr>
                <w:rFonts w:hint="eastAsia"/>
                <w:szCs w:val="20"/>
                <w:lang w:val="en-US" w:eastAsia="zh-CN"/>
              </w:rPr>
              <w:t>30分计。</w:t>
            </w:r>
          </w:p>
        </w:tc>
        <w:tc>
          <w:tcPr>
            <w:tcW w:w="1615" w:type="dxa"/>
            <w:vAlign w:val="center"/>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p>
        </w:tc>
        <w:tc>
          <w:tcPr>
            <w:tcW w:w="865" w:type="dxa"/>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Merge w:val="continue"/>
            <w:vAlign w:val="center"/>
          </w:tcPr>
          <w:p>
            <w:pPr>
              <w:keepNext w:val="0"/>
              <w:keepLines w:val="0"/>
              <w:pageBreakBefore w:val="0"/>
              <w:widowControl/>
              <w:kinsoku/>
              <w:overflowPunct/>
              <w:bidi w:val="0"/>
              <w:adjustRightInd w:val="0"/>
              <w:snapToGrid w:val="0"/>
              <w:spacing w:line="360" w:lineRule="exact"/>
              <w:ind w:right="0" w:rightChars="0"/>
              <w:jc w:val="center"/>
              <w:textAlignment w:val="auto"/>
              <w:rPr>
                <w:rFonts w:asciiTheme="majorEastAsia" w:hAnsiTheme="majorEastAsia" w:eastAsiaTheme="majorEastAsia"/>
                <w:b/>
                <w:szCs w:val="21"/>
              </w:rPr>
            </w:pPr>
          </w:p>
        </w:tc>
        <w:tc>
          <w:tcPr>
            <w:tcW w:w="1499" w:type="dxa"/>
            <w:vAlign w:val="center"/>
          </w:tcPr>
          <w:p>
            <w:pPr>
              <w:keepNext w:val="0"/>
              <w:keepLines w:val="0"/>
              <w:pageBreakBefore w:val="0"/>
              <w:widowControl/>
              <w:kinsoku/>
              <w:overflowPunct/>
              <w:bidi w:val="0"/>
              <w:adjustRightInd w:val="0"/>
              <w:snapToGrid w:val="0"/>
              <w:spacing w:line="360" w:lineRule="exact"/>
              <w:ind w:right="0" w:rightChars="0"/>
              <w:textAlignment w:val="auto"/>
              <w:rPr>
                <w:rFonts w:hint="eastAsia" w:asciiTheme="majorEastAsia" w:hAnsiTheme="majorEastAsia" w:eastAsiaTheme="majorEastAsia"/>
                <w:szCs w:val="21"/>
              </w:rPr>
            </w:pPr>
            <w:r>
              <w:rPr>
                <w:rFonts w:hint="eastAsia" w:asciiTheme="majorEastAsia" w:hAnsiTheme="majorEastAsia" w:eastAsiaTheme="majorEastAsia"/>
                <w:szCs w:val="21"/>
              </w:rPr>
              <w:t>沟通</w:t>
            </w:r>
          </w:p>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(10分)</w:t>
            </w:r>
          </w:p>
        </w:tc>
        <w:tc>
          <w:tcPr>
            <w:tcW w:w="2792" w:type="dxa"/>
            <w:vAlign w:val="center"/>
          </w:tcPr>
          <w:p>
            <w:pPr>
              <w:pStyle w:val="51"/>
              <w:keepNext w:val="0"/>
              <w:keepLines w:val="0"/>
              <w:pageBreakBefore w:val="0"/>
              <w:numPr>
                <w:ilvl w:val="0"/>
                <w:numId w:val="0"/>
              </w:numPr>
              <w:kinsoku/>
              <w:overflowPunct/>
              <w:bidi w:val="0"/>
              <w:adjustRightInd w:val="0"/>
              <w:snapToGrid w:val="0"/>
              <w:spacing w:line="360" w:lineRule="exact"/>
              <w:ind w:right="0" w:rightChars="0"/>
              <w:textAlignment w:val="auto"/>
              <w:rPr>
                <w:rFonts w:hAnsi="宋体" w:cstheme="minorBidi"/>
                <w:kern w:val="2"/>
                <w:szCs w:val="21"/>
              </w:rPr>
            </w:pPr>
            <w:r>
              <w:rPr>
                <w:rFonts w:hint="eastAsia" w:hAnsi="宋体" w:cstheme="minorBidi"/>
                <w:kern w:val="2"/>
                <w:szCs w:val="21"/>
              </w:rPr>
              <w:t>1、企业应建立内部沟通和外部沟通机制，及时有效传递风险信息和隐患信息，提高风险管控效果与隐患排查治理的效果和效率。</w:t>
            </w:r>
          </w:p>
          <w:p>
            <w:pPr>
              <w:pStyle w:val="51"/>
              <w:keepNext w:val="0"/>
              <w:keepLines w:val="0"/>
              <w:pageBreakBefore w:val="0"/>
              <w:numPr>
                <w:ilvl w:val="0"/>
                <w:numId w:val="0"/>
              </w:numPr>
              <w:kinsoku/>
              <w:overflowPunct/>
              <w:bidi w:val="0"/>
              <w:adjustRightInd w:val="0"/>
              <w:snapToGrid w:val="0"/>
              <w:spacing w:line="360" w:lineRule="exact"/>
              <w:ind w:right="0" w:rightChars="0"/>
              <w:textAlignment w:val="auto"/>
              <w:rPr>
                <w:rFonts w:hAnsi="宋体" w:cstheme="minorBidi"/>
                <w:kern w:val="2"/>
                <w:szCs w:val="21"/>
              </w:rPr>
            </w:pPr>
            <w:r>
              <w:rPr>
                <w:rFonts w:hint="eastAsia" w:hAnsi="宋体" w:cstheme="minorBidi"/>
                <w:kern w:val="2"/>
                <w:szCs w:val="21"/>
              </w:rPr>
              <w:t>2、重大风险信息更新后应及时组织相关人员进行培训。</w:t>
            </w:r>
          </w:p>
        </w:tc>
        <w:tc>
          <w:tcPr>
            <w:tcW w:w="3877" w:type="dxa"/>
          </w:tcPr>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rPr>
              <w:t>1、风险信息、隐患信息未及时传达至相关方的，</w:t>
            </w:r>
            <w:r>
              <w:rPr>
                <w:rFonts w:hint="eastAsia"/>
                <w:szCs w:val="20"/>
                <w:lang w:eastAsia="zh-CN"/>
              </w:rPr>
              <w:t>发现</w:t>
            </w:r>
            <w:r>
              <w:rPr>
                <w:rFonts w:hint="eastAsia"/>
                <w:szCs w:val="20"/>
              </w:rPr>
              <w:t>一项</w:t>
            </w:r>
            <w:r>
              <w:rPr>
                <w:rFonts w:hint="eastAsia" w:asciiTheme="majorEastAsia" w:hAnsiTheme="majorEastAsia" w:eastAsiaTheme="majorEastAsia"/>
                <w:szCs w:val="21"/>
              </w:rPr>
              <w:t>扣5分。</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szCs w:val="21"/>
              </w:rPr>
            </w:pPr>
            <w:r>
              <w:rPr>
                <w:rFonts w:hint="eastAsia" w:asciiTheme="majorEastAsia" w:hAnsiTheme="majorEastAsia" w:eastAsiaTheme="majorEastAsia"/>
                <w:szCs w:val="21"/>
                <w:lang w:val="en-US" w:eastAsia="zh-CN"/>
              </w:rPr>
              <w:t>2</w:t>
            </w:r>
            <w:r>
              <w:rPr>
                <w:rFonts w:hint="eastAsia" w:asciiTheme="majorEastAsia" w:hAnsiTheme="majorEastAsia" w:eastAsiaTheme="majorEastAsia"/>
                <w:szCs w:val="21"/>
              </w:rPr>
              <w:t>、</w:t>
            </w:r>
            <w:r>
              <w:rPr>
                <w:rFonts w:hint="eastAsia" w:ascii="宋体" w:hAnsi="宋体" w:cs="Times New Roman"/>
                <w:szCs w:val="21"/>
              </w:rPr>
              <w:t>重大风险信息更新后未对从业人员进行告知的，</w:t>
            </w:r>
            <w:r>
              <w:rPr>
                <w:rFonts w:hint="eastAsia"/>
                <w:szCs w:val="20"/>
                <w:lang w:eastAsia="zh-CN"/>
              </w:rPr>
              <w:t>发现</w:t>
            </w:r>
            <w:r>
              <w:rPr>
                <w:rFonts w:hint="eastAsia"/>
                <w:szCs w:val="20"/>
              </w:rPr>
              <w:t>一项</w:t>
            </w:r>
            <w:r>
              <w:rPr>
                <w:rFonts w:hint="eastAsia" w:ascii="宋体" w:hAnsi="宋体" w:cs="Times New Roman"/>
                <w:szCs w:val="21"/>
              </w:rPr>
              <w:t>扣5分</w:t>
            </w:r>
          </w:p>
        </w:tc>
        <w:tc>
          <w:tcPr>
            <w:tcW w:w="2850" w:type="dxa"/>
          </w:tcPr>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b/>
                <w:szCs w:val="21"/>
              </w:rPr>
            </w:pPr>
            <w:r>
              <w:rPr>
                <w:rFonts w:asciiTheme="majorEastAsia" w:hAnsiTheme="majorEastAsia" w:eastAsiaTheme="majorEastAsia"/>
                <w:b/>
                <w:szCs w:val="21"/>
              </w:rPr>
              <w:t>询问</w:t>
            </w:r>
            <w:r>
              <w:rPr>
                <w:rFonts w:hint="eastAsia" w:asciiTheme="majorEastAsia" w:hAnsiTheme="majorEastAsia" w:eastAsiaTheme="majorEastAsia"/>
                <w:b/>
                <w:szCs w:val="21"/>
              </w:rPr>
              <w:t>：</w:t>
            </w:r>
          </w:p>
          <w:p>
            <w:pPr>
              <w:keepNext w:val="0"/>
              <w:keepLines w:val="0"/>
              <w:pageBreakBefore w:val="0"/>
              <w:kinsoku/>
              <w:overflowPunct/>
              <w:bidi w:val="0"/>
              <w:adjustRightInd w:val="0"/>
              <w:snapToGrid w:val="0"/>
              <w:spacing w:line="360" w:lineRule="exact"/>
              <w:ind w:right="0" w:rightChars="0"/>
              <w:textAlignment w:val="auto"/>
              <w:rPr>
                <w:rFonts w:asciiTheme="majorEastAsia" w:hAnsiTheme="majorEastAsia" w:eastAsiaTheme="majorEastAsia"/>
                <w:b/>
                <w:szCs w:val="21"/>
              </w:rPr>
            </w:pPr>
            <w:r>
              <w:rPr>
                <w:rFonts w:hint="eastAsia" w:asciiTheme="majorEastAsia" w:hAnsiTheme="majorEastAsia" w:eastAsiaTheme="majorEastAsia"/>
                <w:szCs w:val="21"/>
              </w:rPr>
              <w:t>各层级之间是否进行了沟通，各层级及与相关方风险信息、隐患信息沟通采用方式及沟通的效果如何。</w:t>
            </w:r>
          </w:p>
        </w:tc>
        <w:tc>
          <w:tcPr>
            <w:tcW w:w="1615" w:type="dxa"/>
            <w:vAlign w:val="center"/>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p>
        </w:tc>
        <w:tc>
          <w:tcPr>
            <w:tcW w:w="865" w:type="dxa"/>
          </w:tcPr>
          <w:p>
            <w:pPr>
              <w:keepNext w:val="0"/>
              <w:keepLines w:val="0"/>
              <w:pageBreakBefore w:val="0"/>
              <w:widowControl/>
              <w:kinsoku/>
              <w:overflowPunct/>
              <w:bidi w:val="0"/>
              <w:adjustRightInd w:val="0"/>
              <w:snapToGrid w:val="0"/>
              <w:spacing w:line="360" w:lineRule="exact"/>
              <w:ind w:right="0" w:rightChars="0"/>
              <w:textAlignment w:val="auto"/>
              <w:rPr>
                <w:rFonts w:asciiTheme="majorEastAsia" w:hAnsiTheme="majorEastAsia" w:eastAsiaTheme="majorEastAsia"/>
                <w:szCs w:val="21"/>
              </w:rPr>
            </w:pPr>
          </w:p>
        </w:tc>
      </w:tr>
    </w:tbl>
    <w:p>
      <w:pPr>
        <w:adjustRightInd w:val="0"/>
        <w:snapToGrid w:val="0"/>
      </w:pPr>
      <w:r>
        <w:t>备注</w:t>
      </w:r>
      <w:r>
        <w:rPr>
          <w:rFonts w:hint="eastAsia"/>
        </w:rPr>
        <w:t>：1、</w:t>
      </w:r>
      <w:r>
        <w:t>本评审标准适用于</w:t>
      </w:r>
      <w:r>
        <w:rPr>
          <w:rFonts w:hint="eastAsia"/>
        </w:rPr>
        <w:t>“两个体系”</w:t>
      </w:r>
      <w:r>
        <w:t>建设</w:t>
      </w:r>
      <w:r>
        <w:rPr>
          <w:rFonts w:hint="eastAsia"/>
        </w:rPr>
        <w:t>验收，表中“两个体系”指安全生产“两个体系”及职业病危害“两个体系”，除特别注明外，表中风险均包含安全生产风险和职业病危害风险，隐患均包含安全生产事故隐患和职业病危害事故隐患。</w:t>
      </w:r>
    </w:p>
    <w:p>
      <w:pPr>
        <w:numPr>
          <w:ilvl w:val="0"/>
          <w:numId w:val="11"/>
        </w:numPr>
        <w:adjustRightInd w:val="0"/>
        <w:snapToGrid w:val="0"/>
      </w:pPr>
      <w:r>
        <w:rPr>
          <w:rFonts w:hint="eastAsia"/>
        </w:rPr>
        <w:t>总分共计1000分，累计得分/总分X100=实际得分,其中缺项部分按0分计入累计得分，相应的考核要点按0分计入总分。每一考核要点的分值扣完为止。</w:t>
      </w:r>
    </w:p>
    <w:p>
      <w:pPr>
        <w:numPr>
          <w:ilvl w:val="0"/>
          <w:numId w:val="11"/>
        </w:numPr>
        <w:adjustRightInd w:val="0"/>
        <w:snapToGrid w:val="0"/>
      </w:pPr>
      <w:r>
        <w:rPr>
          <w:rFonts w:hint="eastAsia"/>
        </w:rPr>
        <w:t>标杆企业得分80分合格，一般企业</w:t>
      </w:r>
      <w:r>
        <w:rPr>
          <w:rFonts w:hint="eastAsia"/>
          <w:lang w:eastAsia="zh-CN"/>
        </w:rPr>
        <w:t>得分</w:t>
      </w:r>
      <w:bookmarkStart w:id="0" w:name="_GoBack"/>
      <w:bookmarkEnd w:id="0"/>
      <w:r>
        <w:rPr>
          <w:rFonts w:hint="eastAsia"/>
        </w:rPr>
        <w:t>60分合格。</w:t>
      </w:r>
    </w:p>
    <w:p>
      <w:pPr>
        <w:adjustRightInd w:val="0"/>
        <w:snapToGrid w:val="0"/>
      </w:pPr>
      <w:r>
        <w:rPr>
          <w:rFonts w:hint="eastAsia"/>
          <w:lang w:val="en-US" w:eastAsia="zh-CN"/>
        </w:rPr>
        <w:t>4</w:t>
      </w:r>
      <w:r>
        <w:rPr>
          <w:rFonts w:hint="eastAsia"/>
        </w:rPr>
        <w:t>、考核记录应根据评审标准逐项描述考核情况，</w:t>
      </w:r>
      <w:r>
        <w:rPr>
          <w:rFonts w:hint="eastAsia"/>
          <w:lang w:eastAsia="zh-CN"/>
        </w:rPr>
        <w:t>并附带相关审查记录，</w:t>
      </w:r>
      <w:r>
        <w:rPr>
          <w:rFonts w:hint="eastAsia"/>
        </w:rPr>
        <w:t>严禁仅简单填写不符合项。</w:t>
      </w:r>
    </w:p>
    <w:p>
      <w:pPr>
        <w:adjustRightInd w:val="0"/>
        <w:snapToGrid w:val="0"/>
      </w:pPr>
      <w:r>
        <w:rPr>
          <w:rFonts w:hint="eastAsia"/>
          <w:lang w:val="en-US" w:eastAsia="zh-CN"/>
        </w:rPr>
        <w:t>5</w:t>
      </w:r>
      <w:r>
        <w:rPr>
          <w:rFonts w:hint="eastAsia"/>
        </w:rPr>
        <w:t>、以抽查形式进行询问或者检查的情况，应将总数、抽查数目、不符合情况等描述清楚。</w:t>
      </w:r>
    </w:p>
    <w:sectPr>
      <w:pgSz w:w="16838" w:h="11906" w:orient="landscape"/>
      <w:pgMar w:top="1134" w:right="1134" w:bottom="1134" w:left="1134"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 w:name="方正小标宋_GBK">
    <w:altName w:val="微软雅黑"/>
    <w:panose1 w:val="03000509000000000000"/>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Wingdings">
    <w:panose1 w:val="05000000000000000000"/>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Tahoma">
    <w:panose1 w:val="020B0604030504040204"/>
    <w:charset w:val="00"/>
    <w:family w:val="modern"/>
    <w:pitch w:val="default"/>
    <w:sig w:usb0="E1002EFF" w:usb1="C000605B" w:usb2="00000029" w:usb3="00000000" w:csb0="200101FF" w:csb1="20280000"/>
  </w:font>
  <w:font w:name="长城仿宋体">
    <w:altName w:val="宋体"/>
    <w:panose1 w:val="02010609000101010101"/>
    <w:charset w:val="86"/>
    <w:family w:val="roman"/>
    <w:pitch w:val="default"/>
    <w:sig w:usb0="00000000" w:usb1="00000000" w:usb2="00000010" w:usb3="00000000" w:csb0="00040000" w:csb1="00000000"/>
  </w:font>
  <w:font w:name="长城大黑体">
    <w:altName w:val="宋体"/>
    <w:panose1 w:val="02010609000101010101"/>
    <w:charset w:val="86"/>
    <w:family w:val="roman"/>
    <w:pitch w:val="default"/>
    <w:sig w:usb0="00000000" w:usb1="00000000" w:usb2="0000001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方正仿宋_GBK">
    <w:altName w:val="微软雅黑"/>
    <w:panose1 w:val="03000509000000000000"/>
    <w:charset w:val="86"/>
    <w:family w:val="script"/>
    <w:pitch w:val="default"/>
    <w:sig w:usb0="00000000" w:usb1="00000000" w:usb2="00000000" w:usb3="00000000" w:csb0="00040000" w:csb1="00000000"/>
  </w:font>
  <w:font w:name="方正楷体简体">
    <w:altName w:val="宋体"/>
    <w:panose1 w:val="00000000000000000000"/>
    <w:charset w:val="86"/>
    <w:family w:val="roma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Palatino Linotype">
    <w:panose1 w:val="02040502050505030304"/>
    <w:charset w:val="00"/>
    <w:family w:val="auto"/>
    <w:pitch w:val="default"/>
    <w:sig w:usb0="E0000287" w:usb1="40000013" w:usb2="00000000" w:usb3="00000000" w:csb0="2000019F" w:csb1="00000000"/>
  </w:font>
  <w:font w:name="Lucida Sans">
    <w:panose1 w:val="020B0602030504020204"/>
    <w:charset w:val="00"/>
    <w:family w:val="auto"/>
    <w:pitch w:val="default"/>
    <w:sig w:usb0="00000003" w:usb1="00000000" w:usb2="00000000" w:usb3="00000000" w:csb0="20000001" w:csb1="00000000"/>
  </w:font>
  <w:font w:name="@楷体_GB2312">
    <w:altName w:val="宋体"/>
    <w:panose1 w:val="00000000000000000000"/>
    <w:charset w:val="86"/>
    <w:family w:val="auto"/>
    <w:pitch w:val="default"/>
    <w:sig w:usb0="00000000" w:usb1="00000000" w:usb2="00000000" w:usb3="00000000" w:csb0="00040000" w:csb1="00000000"/>
  </w:font>
  <w:font w:name="@宋体">
    <w:panose1 w:val="02010600030101010101"/>
    <w:charset w:val="86"/>
    <w:family w:val="auto"/>
    <w:pitch w:val="default"/>
    <w:sig w:usb0="00000003" w:usb1="288F0000" w:usb2="00000006" w:usb3="00000000" w:csb0="00040001" w:csb1="00000000"/>
  </w:font>
  <w:font w:name="@黑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文星仿宋">
    <w:altName w:val="仿宋"/>
    <w:panose1 w:val="00000000000000000000"/>
    <w:charset w:val="86"/>
    <w:family w:val="auto"/>
    <w:pitch w:val="default"/>
    <w:sig w:usb0="00000000" w:usb1="00000000" w:usb2="00000010" w:usb3="00000000" w:csb0="00040000" w:csb1="00000000"/>
  </w:font>
  <w:font w:name="文星仿宋">
    <w:altName w:val="仿宋"/>
    <w:panose1 w:val="00000000000000000000"/>
    <w:charset w:val="86"/>
    <w:family w:val="auto"/>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新宋体">
    <w:panose1 w:val="02010609030101010101"/>
    <w:charset w:val="86"/>
    <w:family w:val="modern"/>
    <w:pitch w:val="default"/>
    <w:sig w:usb0="00000003" w:usb1="288F0000" w:usb2="00000006" w:usb3="00000000" w:csb0="00040001" w:csb1="00000000"/>
  </w:font>
  <w:font w:name="Lucida Sans Unicode">
    <w:panose1 w:val="020B0602030504020204"/>
    <w:charset w:val="00"/>
    <w:family w:val="auto"/>
    <w:pitch w:val="default"/>
    <w:sig w:usb0="80001AFF" w:usb1="0000396B" w:usb2="00000000" w:usb3="00000000" w:csb0="200000B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73536"/>
    <w:multiLevelType w:val="multilevel"/>
    <w:tmpl w:val="18D7353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2FC473B"/>
    <w:multiLevelType w:val="multilevel"/>
    <w:tmpl w:val="22FC473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C5917C3"/>
    <w:multiLevelType w:val="multilevel"/>
    <w:tmpl w:val="2C5917C3"/>
    <w:lvl w:ilvl="0" w:tentative="0">
      <w:start w:val="1"/>
      <w:numFmt w:val="none"/>
      <w:pStyle w:val="51"/>
      <w:suff w:val="nothing"/>
      <w:lvlText w:val="%1——"/>
      <w:lvlJc w:val="left"/>
      <w:pPr>
        <w:ind w:left="691" w:hanging="408"/>
      </w:pPr>
      <w:rPr>
        <w:rFonts w:hint="eastAsia"/>
      </w:rPr>
    </w:lvl>
    <w:lvl w:ilvl="1" w:tentative="0">
      <w:start w:val="1"/>
      <w:numFmt w:val="bullet"/>
      <w:pStyle w:val="52"/>
      <w:lvlText w:val=""/>
      <w:lvlJc w:val="left"/>
      <w:pPr>
        <w:tabs>
          <w:tab w:val="left" w:pos="760"/>
        </w:tabs>
        <w:ind w:left="1264" w:hanging="413"/>
      </w:pPr>
      <w:rPr>
        <w:rFonts w:hint="default" w:ascii="Symbol" w:hAnsi="Symbol"/>
        <w:color w:val="auto"/>
      </w:rPr>
    </w:lvl>
    <w:lvl w:ilvl="2" w:tentative="0">
      <w:start w:val="1"/>
      <w:numFmt w:val="bullet"/>
      <w:pStyle w:val="53"/>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3">
    <w:nsid w:val="58563467"/>
    <w:multiLevelType w:val="multilevel"/>
    <w:tmpl w:val="585634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97E7BAD"/>
    <w:multiLevelType w:val="singleLevel"/>
    <w:tmpl w:val="597E7BAD"/>
    <w:lvl w:ilvl="0" w:tentative="0">
      <w:start w:val="1"/>
      <w:numFmt w:val="decimal"/>
      <w:suff w:val="nothing"/>
      <w:lvlText w:val="%1、"/>
      <w:lvlJc w:val="left"/>
    </w:lvl>
  </w:abstractNum>
  <w:abstractNum w:abstractNumId="5">
    <w:nsid w:val="59827440"/>
    <w:multiLevelType w:val="singleLevel"/>
    <w:tmpl w:val="59827440"/>
    <w:lvl w:ilvl="0" w:tentative="0">
      <w:start w:val="2"/>
      <w:numFmt w:val="decimal"/>
      <w:suff w:val="nothing"/>
      <w:lvlText w:val="%1、"/>
      <w:lvlJc w:val="left"/>
    </w:lvl>
  </w:abstractNum>
  <w:abstractNum w:abstractNumId="6">
    <w:nsid w:val="598274B6"/>
    <w:multiLevelType w:val="singleLevel"/>
    <w:tmpl w:val="598274B6"/>
    <w:lvl w:ilvl="0" w:tentative="0">
      <w:start w:val="1"/>
      <w:numFmt w:val="decimal"/>
      <w:suff w:val="nothing"/>
      <w:lvlText w:val="%1、"/>
      <w:lvlJc w:val="left"/>
    </w:lvl>
  </w:abstractNum>
  <w:abstractNum w:abstractNumId="7">
    <w:nsid w:val="5982835A"/>
    <w:multiLevelType w:val="singleLevel"/>
    <w:tmpl w:val="5982835A"/>
    <w:lvl w:ilvl="0" w:tentative="0">
      <w:start w:val="1"/>
      <w:numFmt w:val="decimal"/>
      <w:suff w:val="nothing"/>
      <w:lvlText w:val="%1、"/>
      <w:lvlJc w:val="left"/>
    </w:lvl>
  </w:abstractNum>
  <w:abstractNum w:abstractNumId="8">
    <w:nsid w:val="598285BE"/>
    <w:multiLevelType w:val="singleLevel"/>
    <w:tmpl w:val="598285BE"/>
    <w:lvl w:ilvl="0" w:tentative="0">
      <w:start w:val="1"/>
      <w:numFmt w:val="decimal"/>
      <w:suff w:val="nothing"/>
      <w:lvlText w:val="%1、"/>
      <w:lvlJc w:val="left"/>
    </w:lvl>
  </w:abstractNum>
  <w:abstractNum w:abstractNumId="9">
    <w:nsid w:val="59829BFA"/>
    <w:multiLevelType w:val="singleLevel"/>
    <w:tmpl w:val="59829BFA"/>
    <w:lvl w:ilvl="0" w:tentative="0">
      <w:start w:val="2"/>
      <w:numFmt w:val="decimal"/>
      <w:suff w:val="nothing"/>
      <w:lvlText w:val="%1、"/>
      <w:lvlJc w:val="left"/>
    </w:lvl>
  </w:abstractNum>
  <w:abstractNum w:abstractNumId="10">
    <w:nsid w:val="59A12FD5"/>
    <w:multiLevelType w:val="singleLevel"/>
    <w:tmpl w:val="59A12FD5"/>
    <w:lvl w:ilvl="0" w:tentative="0">
      <w:start w:val="1"/>
      <w:numFmt w:val="decimal"/>
      <w:suff w:val="nothing"/>
      <w:lvlText w:val="%1、"/>
      <w:lvlJc w:val="left"/>
    </w:lvl>
  </w:abstractNum>
  <w:num w:numId="1">
    <w:abstractNumId w:val="2"/>
  </w:num>
  <w:num w:numId="2">
    <w:abstractNumId w:val="6"/>
  </w:num>
  <w:num w:numId="3">
    <w:abstractNumId w:val="5"/>
  </w:num>
  <w:num w:numId="4">
    <w:abstractNumId w:val="3"/>
  </w:num>
  <w:num w:numId="5">
    <w:abstractNumId w:val="4"/>
  </w:num>
  <w:num w:numId="6">
    <w:abstractNumId w:val="10"/>
  </w:num>
  <w:num w:numId="7">
    <w:abstractNumId w:val="0"/>
  </w:num>
  <w:num w:numId="8">
    <w:abstractNumId w:val="1"/>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147"/>
    <w:rsid w:val="00001907"/>
    <w:rsid w:val="00002737"/>
    <w:rsid w:val="000030AA"/>
    <w:rsid w:val="00013211"/>
    <w:rsid w:val="0001679B"/>
    <w:rsid w:val="000255D2"/>
    <w:rsid w:val="00036270"/>
    <w:rsid w:val="00041531"/>
    <w:rsid w:val="0004605C"/>
    <w:rsid w:val="000465F7"/>
    <w:rsid w:val="0004747E"/>
    <w:rsid w:val="00051B75"/>
    <w:rsid w:val="00052244"/>
    <w:rsid w:val="0005426D"/>
    <w:rsid w:val="000548B7"/>
    <w:rsid w:val="0006469F"/>
    <w:rsid w:val="00067C90"/>
    <w:rsid w:val="00067E51"/>
    <w:rsid w:val="0008006E"/>
    <w:rsid w:val="0008248A"/>
    <w:rsid w:val="00082E69"/>
    <w:rsid w:val="000852D5"/>
    <w:rsid w:val="00092CA7"/>
    <w:rsid w:val="0009456D"/>
    <w:rsid w:val="00097013"/>
    <w:rsid w:val="000971FF"/>
    <w:rsid w:val="000A5E78"/>
    <w:rsid w:val="000A75F8"/>
    <w:rsid w:val="000B4148"/>
    <w:rsid w:val="000B58ED"/>
    <w:rsid w:val="000B6013"/>
    <w:rsid w:val="000C5FB2"/>
    <w:rsid w:val="000C7AFB"/>
    <w:rsid w:val="000D267B"/>
    <w:rsid w:val="000D4C92"/>
    <w:rsid w:val="000E2E42"/>
    <w:rsid w:val="000E38D0"/>
    <w:rsid w:val="000E4621"/>
    <w:rsid w:val="000E5D33"/>
    <w:rsid w:val="000F3C61"/>
    <w:rsid w:val="00100ACE"/>
    <w:rsid w:val="00100D65"/>
    <w:rsid w:val="001017CE"/>
    <w:rsid w:val="00105E27"/>
    <w:rsid w:val="00110464"/>
    <w:rsid w:val="001214DD"/>
    <w:rsid w:val="00122068"/>
    <w:rsid w:val="001265FF"/>
    <w:rsid w:val="001275C7"/>
    <w:rsid w:val="0013030B"/>
    <w:rsid w:val="00130C1B"/>
    <w:rsid w:val="00135A40"/>
    <w:rsid w:val="00137371"/>
    <w:rsid w:val="001416BC"/>
    <w:rsid w:val="00143C38"/>
    <w:rsid w:val="001473FB"/>
    <w:rsid w:val="00151D6C"/>
    <w:rsid w:val="0015424D"/>
    <w:rsid w:val="001542A9"/>
    <w:rsid w:val="00154C52"/>
    <w:rsid w:val="0016399B"/>
    <w:rsid w:val="0016689C"/>
    <w:rsid w:val="00170AAE"/>
    <w:rsid w:val="00172F14"/>
    <w:rsid w:val="00180695"/>
    <w:rsid w:val="00182338"/>
    <w:rsid w:val="00182901"/>
    <w:rsid w:val="001861EB"/>
    <w:rsid w:val="00186938"/>
    <w:rsid w:val="00195BF3"/>
    <w:rsid w:val="001961B2"/>
    <w:rsid w:val="001A0A02"/>
    <w:rsid w:val="001A0A54"/>
    <w:rsid w:val="001A1041"/>
    <w:rsid w:val="001A3318"/>
    <w:rsid w:val="001A5BED"/>
    <w:rsid w:val="001B3A22"/>
    <w:rsid w:val="001B4322"/>
    <w:rsid w:val="001C4FE8"/>
    <w:rsid w:val="001C613E"/>
    <w:rsid w:val="001C72A8"/>
    <w:rsid w:val="001C7EAA"/>
    <w:rsid w:val="001D2DC6"/>
    <w:rsid w:val="001D7CB5"/>
    <w:rsid w:val="001E0F6A"/>
    <w:rsid w:val="001E11C5"/>
    <w:rsid w:val="001E20F0"/>
    <w:rsid w:val="001E369D"/>
    <w:rsid w:val="001E3DA9"/>
    <w:rsid w:val="001E78D5"/>
    <w:rsid w:val="001F64AC"/>
    <w:rsid w:val="00200082"/>
    <w:rsid w:val="00200472"/>
    <w:rsid w:val="00203091"/>
    <w:rsid w:val="00215285"/>
    <w:rsid w:val="00226A15"/>
    <w:rsid w:val="0023122C"/>
    <w:rsid w:val="00240061"/>
    <w:rsid w:val="00246A6E"/>
    <w:rsid w:val="00251370"/>
    <w:rsid w:val="00251448"/>
    <w:rsid w:val="0025217B"/>
    <w:rsid w:val="0025474E"/>
    <w:rsid w:val="002562CE"/>
    <w:rsid w:val="00261217"/>
    <w:rsid w:val="002617DA"/>
    <w:rsid w:val="00261C76"/>
    <w:rsid w:val="002626D2"/>
    <w:rsid w:val="002637D9"/>
    <w:rsid w:val="00265B63"/>
    <w:rsid w:val="00274530"/>
    <w:rsid w:val="00274C52"/>
    <w:rsid w:val="00280FF6"/>
    <w:rsid w:val="00282C17"/>
    <w:rsid w:val="00283271"/>
    <w:rsid w:val="0028698A"/>
    <w:rsid w:val="00286D16"/>
    <w:rsid w:val="0029011C"/>
    <w:rsid w:val="00293CB6"/>
    <w:rsid w:val="00295AD2"/>
    <w:rsid w:val="002A0C20"/>
    <w:rsid w:val="002A18CD"/>
    <w:rsid w:val="002A1AFF"/>
    <w:rsid w:val="002A44D7"/>
    <w:rsid w:val="002A45EF"/>
    <w:rsid w:val="002B7A0D"/>
    <w:rsid w:val="002C0F9A"/>
    <w:rsid w:val="002C19EA"/>
    <w:rsid w:val="002C3726"/>
    <w:rsid w:val="002C674C"/>
    <w:rsid w:val="002D1AFC"/>
    <w:rsid w:val="002D537E"/>
    <w:rsid w:val="002E109E"/>
    <w:rsid w:val="002E4232"/>
    <w:rsid w:val="002E50EC"/>
    <w:rsid w:val="00300E59"/>
    <w:rsid w:val="0030615D"/>
    <w:rsid w:val="003071B1"/>
    <w:rsid w:val="003124B8"/>
    <w:rsid w:val="00313F90"/>
    <w:rsid w:val="00315606"/>
    <w:rsid w:val="003161D7"/>
    <w:rsid w:val="00316561"/>
    <w:rsid w:val="00321DD8"/>
    <w:rsid w:val="003234EC"/>
    <w:rsid w:val="00323F2A"/>
    <w:rsid w:val="00325147"/>
    <w:rsid w:val="00327EFB"/>
    <w:rsid w:val="00332751"/>
    <w:rsid w:val="0033351A"/>
    <w:rsid w:val="0034578E"/>
    <w:rsid w:val="00350AEF"/>
    <w:rsid w:val="003540C1"/>
    <w:rsid w:val="003550BE"/>
    <w:rsid w:val="00356B29"/>
    <w:rsid w:val="0035721F"/>
    <w:rsid w:val="00363508"/>
    <w:rsid w:val="00363E74"/>
    <w:rsid w:val="00364602"/>
    <w:rsid w:val="00376F33"/>
    <w:rsid w:val="0038672B"/>
    <w:rsid w:val="00387783"/>
    <w:rsid w:val="003931FF"/>
    <w:rsid w:val="003960CC"/>
    <w:rsid w:val="003A4BA5"/>
    <w:rsid w:val="003B0C92"/>
    <w:rsid w:val="003B1925"/>
    <w:rsid w:val="003C1032"/>
    <w:rsid w:val="003C3ADF"/>
    <w:rsid w:val="003D2C12"/>
    <w:rsid w:val="003D3B55"/>
    <w:rsid w:val="003D4357"/>
    <w:rsid w:val="003E0D4C"/>
    <w:rsid w:val="003E356B"/>
    <w:rsid w:val="003E360B"/>
    <w:rsid w:val="003F3D51"/>
    <w:rsid w:val="00402ACD"/>
    <w:rsid w:val="00405171"/>
    <w:rsid w:val="0040717D"/>
    <w:rsid w:val="004077AB"/>
    <w:rsid w:val="00407AC7"/>
    <w:rsid w:val="004102A7"/>
    <w:rsid w:val="0041128F"/>
    <w:rsid w:val="00413E80"/>
    <w:rsid w:val="00414C12"/>
    <w:rsid w:val="004166FF"/>
    <w:rsid w:val="00416739"/>
    <w:rsid w:val="00434FAD"/>
    <w:rsid w:val="00435EDF"/>
    <w:rsid w:val="00437590"/>
    <w:rsid w:val="00441945"/>
    <w:rsid w:val="00441961"/>
    <w:rsid w:val="00446564"/>
    <w:rsid w:val="00446FAC"/>
    <w:rsid w:val="0046054E"/>
    <w:rsid w:val="00463EE9"/>
    <w:rsid w:val="00473C50"/>
    <w:rsid w:val="00473CE2"/>
    <w:rsid w:val="00481741"/>
    <w:rsid w:val="00482C8C"/>
    <w:rsid w:val="00485024"/>
    <w:rsid w:val="00492974"/>
    <w:rsid w:val="00493C75"/>
    <w:rsid w:val="0049678F"/>
    <w:rsid w:val="004A0A12"/>
    <w:rsid w:val="004A3B7F"/>
    <w:rsid w:val="004A3FEC"/>
    <w:rsid w:val="004A541B"/>
    <w:rsid w:val="004B4ABB"/>
    <w:rsid w:val="004C3CEF"/>
    <w:rsid w:val="004C4D32"/>
    <w:rsid w:val="004C7FE4"/>
    <w:rsid w:val="004D0705"/>
    <w:rsid w:val="004D072D"/>
    <w:rsid w:val="004D1F05"/>
    <w:rsid w:val="004D6ABD"/>
    <w:rsid w:val="004D77C7"/>
    <w:rsid w:val="004E0991"/>
    <w:rsid w:val="004E5E03"/>
    <w:rsid w:val="004F164B"/>
    <w:rsid w:val="004F204D"/>
    <w:rsid w:val="004F34BD"/>
    <w:rsid w:val="004F40D8"/>
    <w:rsid w:val="00501418"/>
    <w:rsid w:val="00502283"/>
    <w:rsid w:val="005126E4"/>
    <w:rsid w:val="00512AC5"/>
    <w:rsid w:val="00517BCB"/>
    <w:rsid w:val="00517CE0"/>
    <w:rsid w:val="00521633"/>
    <w:rsid w:val="0052642C"/>
    <w:rsid w:val="00526FE9"/>
    <w:rsid w:val="005300C9"/>
    <w:rsid w:val="0053193D"/>
    <w:rsid w:val="00535713"/>
    <w:rsid w:val="00550A41"/>
    <w:rsid w:val="0055390E"/>
    <w:rsid w:val="00556411"/>
    <w:rsid w:val="005605AF"/>
    <w:rsid w:val="00560DD2"/>
    <w:rsid w:val="0056199E"/>
    <w:rsid w:val="0056409C"/>
    <w:rsid w:val="005654E9"/>
    <w:rsid w:val="005700E4"/>
    <w:rsid w:val="00574976"/>
    <w:rsid w:val="00576862"/>
    <w:rsid w:val="00582B30"/>
    <w:rsid w:val="0059151C"/>
    <w:rsid w:val="00596335"/>
    <w:rsid w:val="0059680A"/>
    <w:rsid w:val="005A064B"/>
    <w:rsid w:val="005A2066"/>
    <w:rsid w:val="005B09AB"/>
    <w:rsid w:val="005C0DF9"/>
    <w:rsid w:val="005C1E5B"/>
    <w:rsid w:val="005C4326"/>
    <w:rsid w:val="005C6232"/>
    <w:rsid w:val="005D1641"/>
    <w:rsid w:val="005E2491"/>
    <w:rsid w:val="005E2748"/>
    <w:rsid w:val="005E3591"/>
    <w:rsid w:val="005E508A"/>
    <w:rsid w:val="005F5A4F"/>
    <w:rsid w:val="005F7DFA"/>
    <w:rsid w:val="00602CAB"/>
    <w:rsid w:val="006076D6"/>
    <w:rsid w:val="00610AF1"/>
    <w:rsid w:val="00612FBE"/>
    <w:rsid w:val="00613C45"/>
    <w:rsid w:val="00620897"/>
    <w:rsid w:val="006216B2"/>
    <w:rsid w:val="00632FA0"/>
    <w:rsid w:val="00641850"/>
    <w:rsid w:val="00642F7F"/>
    <w:rsid w:val="00646B0D"/>
    <w:rsid w:val="006515F1"/>
    <w:rsid w:val="00655CED"/>
    <w:rsid w:val="00656C7C"/>
    <w:rsid w:val="00661857"/>
    <w:rsid w:val="00664371"/>
    <w:rsid w:val="00666C8A"/>
    <w:rsid w:val="00667CAE"/>
    <w:rsid w:val="00670F74"/>
    <w:rsid w:val="00671EB6"/>
    <w:rsid w:val="006738B8"/>
    <w:rsid w:val="00675146"/>
    <w:rsid w:val="006823AF"/>
    <w:rsid w:val="00682DC8"/>
    <w:rsid w:val="00687AD5"/>
    <w:rsid w:val="00687AFF"/>
    <w:rsid w:val="006960BE"/>
    <w:rsid w:val="006A05AA"/>
    <w:rsid w:val="006A22CA"/>
    <w:rsid w:val="006A29CE"/>
    <w:rsid w:val="006A3393"/>
    <w:rsid w:val="006B01A1"/>
    <w:rsid w:val="006B4077"/>
    <w:rsid w:val="006B6E60"/>
    <w:rsid w:val="006B70FF"/>
    <w:rsid w:val="006C064A"/>
    <w:rsid w:val="006C1BEB"/>
    <w:rsid w:val="006C2F67"/>
    <w:rsid w:val="006C5382"/>
    <w:rsid w:val="006C6081"/>
    <w:rsid w:val="006C638F"/>
    <w:rsid w:val="006C6D6A"/>
    <w:rsid w:val="006C78F5"/>
    <w:rsid w:val="006D4547"/>
    <w:rsid w:val="006E1A03"/>
    <w:rsid w:val="006E4598"/>
    <w:rsid w:val="006E47AA"/>
    <w:rsid w:val="006E680E"/>
    <w:rsid w:val="006F1626"/>
    <w:rsid w:val="006F2B2A"/>
    <w:rsid w:val="006F339E"/>
    <w:rsid w:val="006F6E31"/>
    <w:rsid w:val="00704BC0"/>
    <w:rsid w:val="00711741"/>
    <w:rsid w:val="00714A75"/>
    <w:rsid w:val="00714DDA"/>
    <w:rsid w:val="007155AB"/>
    <w:rsid w:val="00720775"/>
    <w:rsid w:val="00720B22"/>
    <w:rsid w:val="00721CB7"/>
    <w:rsid w:val="00721E09"/>
    <w:rsid w:val="00734628"/>
    <w:rsid w:val="00742136"/>
    <w:rsid w:val="007432EF"/>
    <w:rsid w:val="007529DA"/>
    <w:rsid w:val="007606DD"/>
    <w:rsid w:val="00760F43"/>
    <w:rsid w:val="00762171"/>
    <w:rsid w:val="00763B8B"/>
    <w:rsid w:val="00774421"/>
    <w:rsid w:val="00775A23"/>
    <w:rsid w:val="00775EBE"/>
    <w:rsid w:val="0077706D"/>
    <w:rsid w:val="007775F4"/>
    <w:rsid w:val="0077770A"/>
    <w:rsid w:val="00782F59"/>
    <w:rsid w:val="00785A4F"/>
    <w:rsid w:val="00786AC0"/>
    <w:rsid w:val="00790D0F"/>
    <w:rsid w:val="00793AA7"/>
    <w:rsid w:val="007941AA"/>
    <w:rsid w:val="007A6C0A"/>
    <w:rsid w:val="007A77AA"/>
    <w:rsid w:val="007B0D7E"/>
    <w:rsid w:val="007B14A5"/>
    <w:rsid w:val="007B3CED"/>
    <w:rsid w:val="007B5633"/>
    <w:rsid w:val="007B72A5"/>
    <w:rsid w:val="007C10F5"/>
    <w:rsid w:val="007C5DDF"/>
    <w:rsid w:val="007C6161"/>
    <w:rsid w:val="007D6DE3"/>
    <w:rsid w:val="007E265D"/>
    <w:rsid w:val="007E4DA1"/>
    <w:rsid w:val="007F136C"/>
    <w:rsid w:val="007F2457"/>
    <w:rsid w:val="007F73BB"/>
    <w:rsid w:val="008001A2"/>
    <w:rsid w:val="0080233F"/>
    <w:rsid w:val="00802C1C"/>
    <w:rsid w:val="0080372E"/>
    <w:rsid w:val="008042FE"/>
    <w:rsid w:val="0081791B"/>
    <w:rsid w:val="008248CC"/>
    <w:rsid w:val="00831EEF"/>
    <w:rsid w:val="00834E76"/>
    <w:rsid w:val="0083760C"/>
    <w:rsid w:val="008400F3"/>
    <w:rsid w:val="008410BE"/>
    <w:rsid w:val="00841665"/>
    <w:rsid w:val="008438BC"/>
    <w:rsid w:val="00844C79"/>
    <w:rsid w:val="0085069E"/>
    <w:rsid w:val="0085288C"/>
    <w:rsid w:val="0085483C"/>
    <w:rsid w:val="008570E8"/>
    <w:rsid w:val="00857DB2"/>
    <w:rsid w:val="008607F1"/>
    <w:rsid w:val="00861C9D"/>
    <w:rsid w:val="00862157"/>
    <w:rsid w:val="00864C74"/>
    <w:rsid w:val="0086546E"/>
    <w:rsid w:val="00866756"/>
    <w:rsid w:val="00875E62"/>
    <w:rsid w:val="008775E0"/>
    <w:rsid w:val="00881681"/>
    <w:rsid w:val="00881BD8"/>
    <w:rsid w:val="00896C81"/>
    <w:rsid w:val="008A5660"/>
    <w:rsid w:val="008A7814"/>
    <w:rsid w:val="008B0556"/>
    <w:rsid w:val="008B0766"/>
    <w:rsid w:val="008B3E3C"/>
    <w:rsid w:val="008B6184"/>
    <w:rsid w:val="008B7581"/>
    <w:rsid w:val="008B7D68"/>
    <w:rsid w:val="008C5667"/>
    <w:rsid w:val="008D38A0"/>
    <w:rsid w:val="008D4F0D"/>
    <w:rsid w:val="008D5A94"/>
    <w:rsid w:val="008E081A"/>
    <w:rsid w:val="008E1BC2"/>
    <w:rsid w:val="008E2E3B"/>
    <w:rsid w:val="008E35E4"/>
    <w:rsid w:val="008F1BFF"/>
    <w:rsid w:val="00901069"/>
    <w:rsid w:val="00907475"/>
    <w:rsid w:val="00912B76"/>
    <w:rsid w:val="00914C5A"/>
    <w:rsid w:val="00915390"/>
    <w:rsid w:val="00924EEA"/>
    <w:rsid w:val="00925127"/>
    <w:rsid w:val="00934CB7"/>
    <w:rsid w:val="00934F4C"/>
    <w:rsid w:val="00935398"/>
    <w:rsid w:val="009379E7"/>
    <w:rsid w:val="009501B3"/>
    <w:rsid w:val="00956EA6"/>
    <w:rsid w:val="0095703D"/>
    <w:rsid w:val="00964191"/>
    <w:rsid w:val="00965989"/>
    <w:rsid w:val="009703AD"/>
    <w:rsid w:val="00971251"/>
    <w:rsid w:val="00976257"/>
    <w:rsid w:val="00981D85"/>
    <w:rsid w:val="00982041"/>
    <w:rsid w:val="009840C8"/>
    <w:rsid w:val="00985509"/>
    <w:rsid w:val="00987439"/>
    <w:rsid w:val="009918E0"/>
    <w:rsid w:val="00992718"/>
    <w:rsid w:val="0099496E"/>
    <w:rsid w:val="009979A5"/>
    <w:rsid w:val="009A0537"/>
    <w:rsid w:val="009A1C0A"/>
    <w:rsid w:val="009A32A2"/>
    <w:rsid w:val="009A423B"/>
    <w:rsid w:val="009A6107"/>
    <w:rsid w:val="009A6DF1"/>
    <w:rsid w:val="009B1986"/>
    <w:rsid w:val="009B7B8A"/>
    <w:rsid w:val="009C3835"/>
    <w:rsid w:val="009C558C"/>
    <w:rsid w:val="009C7939"/>
    <w:rsid w:val="009D2B59"/>
    <w:rsid w:val="009D438F"/>
    <w:rsid w:val="009D6A8C"/>
    <w:rsid w:val="009D7A48"/>
    <w:rsid w:val="009E3AC3"/>
    <w:rsid w:val="009E4882"/>
    <w:rsid w:val="009E6088"/>
    <w:rsid w:val="009F0EC9"/>
    <w:rsid w:val="009F12F3"/>
    <w:rsid w:val="009F555F"/>
    <w:rsid w:val="00A06E34"/>
    <w:rsid w:val="00A06F86"/>
    <w:rsid w:val="00A113CD"/>
    <w:rsid w:val="00A1777D"/>
    <w:rsid w:val="00A20898"/>
    <w:rsid w:val="00A22641"/>
    <w:rsid w:val="00A302B3"/>
    <w:rsid w:val="00A304EC"/>
    <w:rsid w:val="00A31F66"/>
    <w:rsid w:val="00A33DE5"/>
    <w:rsid w:val="00A36663"/>
    <w:rsid w:val="00A4179B"/>
    <w:rsid w:val="00A4640E"/>
    <w:rsid w:val="00A46550"/>
    <w:rsid w:val="00A46B3E"/>
    <w:rsid w:val="00A47B65"/>
    <w:rsid w:val="00A5439D"/>
    <w:rsid w:val="00A556F4"/>
    <w:rsid w:val="00A56C98"/>
    <w:rsid w:val="00A60BC7"/>
    <w:rsid w:val="00A6100F"/>
    <w:rsid w:val="00A70CA7"/>
    <w:rsid w:val="00A71F91"/>
    <w:rsid w:val="00A76508"/>
    <w:rsid w:val="00A778F3"/>
    <w:rsid w:val="00A77B39"/>
    <w:rsid w:val="00A809E5"/>
    <w:rsid w:val="00A80FD4"/>
    <w:rsid w:val="00A81462"/>
    <w:rsid w:val="00A8369F"/>
    <w:rsid w:val="00A84EB5"/>
    <w:rsid w:val="00A85753"/>
    <w:rsid w:val="00A87CF8"/>
    <w:rsid w:val="00A907D2"/>
    <w:rsid w:val="00A91920"/>
    <w:rsid w:val="00A972C9"/>
    <w:rsid w:val="00AA44B5"/>
    <w:rsid w:val="00AB3EB1"/>
    <w:rsid w:val="00AB64B9"/>
    <w:rsid w:val="00AB7668"/>
    <w:rsid w:val="00AC4FAE"/>
    <w:rsid w:val="00AC6756"/>
    <w:rsid w:val="00AC6B50"/>
    <w:rsid w:val="00AD1F51"/>
    <w:rsid w:val="00AD635C"/>
    <w:rsid w:val="00AE0536"/>
    <w:rsid w:val="00AE2760"/>
    <w:rsid w:val="00AE58C1"/>
    <w:rsid w:val="00AE726E"/>
    <w:rsid w:val="00AF0C90"/>
    <w:rsid w:val="00AF43AF"/>
    <w:rsid w:val="00AF5D9C"/>
    <w:rsid w:val="00AF60A3"/>
    <w:rsid w:val="00AF623E"/>
    <w:rsid w:val="00AF70C7"/>
    <w:rsid w:val="00B006B7"/>
    <w:rsid w:val="00B01B3A"/>
    <w:rsid w:val="00B03631"/>
    <w:rsid w:val="00B041BB"/>
    <w:rsid w:val="00B04C64"/>
    <w:rsid w:val="00B052F1"/>
    <w:rsid w:val="00B06FDC"/>
    <w:rsid w:val="00B11385"/>
    <w:rsid w:val="00B138D4"/>
    <w:rsid w:val="00B15330"/>
    <w:rsid w:val="00B173B4"/>
    <w:rsid w:val="00B215FF"/>
    <w:rsid w:val="00B2176B"/>
    <w:rsid w:val="00B30AC6"/>
    <w:rsid w:val="00B40CB0"/>
    <w:rsid w:val="00B442D4"/>
    <w:rsid w:val="00B44A51"/>
    <w:rsid w:val="00B54EBC"/>
    <w:rsid w:val="00B60B00"/>
    <w:rsid w:val="00B63F2D"/>
    <w:rsid w:val="00B70DD5"/>
    <w:rsid w:val="00B76B83"/>
    <w:rsid w:val="00B90C9C"/>
    <w:rsid w:val="00B90E26"/>
    <w:rsid w:val="00B940AA"/>
    <w:rsid w:val="00B953D0"/>
    <w:rsid w:val="00B95FBF"/>
    <w:rsid w:val="00BA65FA"/>
    <w:rsid w:val="00BB03E0"/>
    <w:rsid w:val="00BB1E1E"/>
    <w:rsid w:val="00BC06EC"/>
    <w:rsid w:val="00BC1BE8"/>
    <w:rsid w:val="00BC3039"/>
    <w:rsid w:val="00BC48BD"/>
    <w:rsid w:val="00BC5322"/>
    <w:rsid w:val="00BD0638"/>
    <w:rsid w:val="00BD1007"/>
    <w:rsid w:val="00BD2495"/>
    <w:rsid w:val="00BD33C3"/>
    <w:rsid w:val="00BD5AA8"/>
    <w:rsid w:val="00BD5FF8"/>
    <w:rsid w:val="00BD6FDE"/>
    <w:rsid w:val="00BD75CA"/>
    <w:rsid w:val="00BD7649"/>
    <w:rsid w:val="00BE4B62"/>
    <w:rsid w:val="00BE5913"/>
    <w:rsid w:val="00BF0FD6"/>
    <w:rsid w:val="00BF7D84"/>
    <w:rsid w:val="00BF7E32"/>
    <w:rsid w:val="00C00465"/>
    <w:rsid w:val="00C007C3"/>
    <w:rsid w:val="00C074D3"/>
    <w:rsid w:val="00C12934"/>
    <w:rsid w:val="00C16EE7"/>
    <w:rsid w:val="00C21396"/>
    <w:rsid w:val="00C25EF6"/>
    <w:rsid w:val="00C3071A"/>
    <w:rsid w:val="00C31194"/>
    <w:rsid w:val="00C35D2F"/>
    <w:rsid w:val="00C3623A"/>
    <w:rsid w:val="00C36485"/>
    <w:rsid w:val="00C36559"/>
    <w:rsid w:val="00C37E1E"/>
    <w:rsid w:val="00C50004"/>
    <w:rsid w:val="00C52713"/>
    <w:rsid w:val="00C57DE6"/>
    <w:rsid w:val="00C60624"/>
    <w:rsid w:val="00C64FBA"/>
    <w:rsid w:val="00C656DA"/>
    <w:rsid w:val="00C72755"/>
    <w:rsid w:val="00C73A42"/>
    <w:rsid w:val="00C77D39"/>
    <w:rsid w:val="00C84A81"/>
    <w:rsid w:val="00C84F60"/>
    <w:rsid w:val="00C85CE0"/>
    <w:rsid w:val="00C85F62"/>
    <w:rsid w:val="00C905C6"/>
    <w:rsid w:val="00C90758"/>
    <w:rsid w:val="00C90BFD"/>
    <w:rsid w:val="00C93E66"/>
    <w:rsid w:val="00C958D0"/>
    <w:rsid w:val="00CA090F"/>
    <w:rsid w:val="00CA7E3A"/>
    <w:rsid w:val="00CB00C2"/>
    <w:rsid w:val="00CB14C1"/>
    <w:rsid w:val="00CD02EA"/>
    <w:rsid w:val="00CD3C21"/>
    <w:rsid w:val="00CD5BE1"/>
    <w:rsid w:val="00CE0601"/>
    <w:rsid w:val="00CE0C02"/>
    <w:rsid w:val="00CE0F0A"/>
    <w:rsid w:val="00CE15D7"/>
    <w:rsid w:val="00CF1F7E"/>
    <w:rsid w:val="00CF6D6E"/>
    <w:rsid w:val="00CF7A6E"/>
    <w:rsid w:val="00D0455A"/>
    <w:rsid w:val="00D0556F"/>
    <w:rsid w:val="00D0702A"/>
    <w:rsid w:val="00D1367A"/>
    <w:rsid w:val="00D148E4"/>
    <w:rsid w:val="00D15BAF"/>
    <w:rsid w:val="00D21040"/>
    <w:rsid w:val="00D216EA"/>
    <w:rsid w:val="00D237D8"/>
    <w:rsid w:val="00D27132"/>
    <w:rsid w:val="00D271B3"/>
    <w:rsid w:val="00D35F04"/>
    <w:rsid w:val="00D438D5"/>
    <w:rsid w:val="00D446DA"/>
    <w:rsid w:val="00D46DB8"/>
    <w:rsid w:val="00D5203B"/>
    <w:rsid w:val="00D5460F"/>
    <w:rsid w:val="00D55CFC"/>
    <w:rsid w:val="00D64EE8"/>
    <w:rsid w:val="00D66495"/>
    <w:rsid w:val="00D67755"/>
    <w:rsid w:val="00D719D9"/>
    <w:rsid w:val="00D76DD8"/>
    <w:rsid w:val="00D84411"/>
    <w:rsid w:val="00D86679"/>
    <w:rsid w:val="00D90ECC"/>
    <w:rsid w:val="00DA16E7"/>
    <w:rsid w:val="00DA289F"/>
    <w:rsid w:val="00DB0ACD"/>
    <w:rsid w:val="00DB4465"/>
    <w:rsid w:val="00DB461E"/>
    <w:rsid w:val="00DB4FF9"/>
    <w:rsid w:val="00DB657D"/>
    <w:rsid w:val="00DC0E6A"/>
    <w:rsid w:val="00DC21EA"/>
    <w:rsid w:val="00DC28CC"/>
    <w:rsid w:val="00DD4054"/>
    <w:rsid w:val="00DD4C3C"/>
    <w:rsid w:val="00DD5251"/>
    <w:rsid w:val="00DD6D26"/>
    <w:rsid w:val="00DD7CDA"/>
    <w:rsid w:val="00DE0076"/>
    <w:rsid w:val="00DE6405"/>
    <w:rsid w:val="00DE6552"/>
    <w:rsid w:val="00DF403B"/>
    <w:rsid w:val="00DF4123"/>
    <w:rsid w:val="00E030F6"/>
    <w:rsid w:val="00E059F4"/>
    <w:rsid w:val="00E1060D"/>
    <w:rsid w:val="00E21005"/>
    <w:rsid w:val="00E22D48"/>
    <w:rsid w:val="00E25BE4"/>
    <w:rsid w:val="00E31F1C"/>
    <w:rsid w:val="00E42EB8"/>
    <w:rsid w:val="00E432AA"/>
    <w:rsid w:val="00E50EE2"/>
    <w:rsid w:val="00E547A1"/>
    <w:rsid w:val="00E55494"/>
    <w:rsid w:val="00E641FE"/>
    <w:rsid w:val="00E67AC3"/>
    <w:rsid w:val="00E83BF8"/>
    <w:rsid w:val="00E86DF6"/>
    <w:rsid w:val="00E872FF"/>
    <w:rsid w:val="00E874DA"/>
    <w:rsid w:val="00E91697"/>
    <w:rsid w:val="00E976C8"/>
    <w:rsid w:val="00EA0EC5"/>
    <w:rsid w:val="00EA0F72"/>
    <w:rsid w:val="00EA56E7"/>
    <w:rsid w:val="00EA6118"/>
    <w:rsid w:val="00EA688C"/>
    <w:rsid w:val="00EA6D94"/>
    <w:rsid w:val="00EA7FFC"/>
    <w:rsid w:val="00EB0F02"/>
    <w:rsid w:val="00EB28C5"/>
    <w:rsid w:val="00EB5C5D"/>
    <w:rsid w:val="00EC0863"/>
    <w:rsid w:val="00EC1436"/>
    <w:rsid w:val="00ED1B91"/>
    <w:rsid w:val="00EE0EBC"/>
    <w:rsid w:val="00EE264F"/>
    <w:rsid w:val="00EE4365"/>
    <w:rsid w:val="00EF38A9"/>
    <w:rsid w:val="00EF7D8E"/>
    <w:rsid w:val="00F02064"/>
    <w:rsid w:val="00F13791"/>
    <w:rsid w:val="00F16DD6"/>
    <w:rsid w:val="00F23376"/>
    <w:rsid w:val="00F338B2"/>
    <w:rsid w:val="00F34A86"/>
    <w:rsid w:val="00F353B4"/>
    <w:rsid w:val="00F358DE"/>
    <w:rsid w:val="00F366BB"/>
    <w:rsid w:val="00F42DA6"/>
    <w:rsid w:val="00F43D3B"/>
    <w:rsid w:val="00F5448F"/>
    <w:rsid w:val="00F547B5"/>
    <w:rsid w:val="00F64414"/>
    <w:rsid w:val="00F65E4B"/>
    <w:rsid w:val="00F66599"/>
    <w:rsid w:val="00F6757E"/>
    <w:rsid w:val="00F70658"/>
    <w:rsid w:val="00F74D7F"/>
    <w:rsid w:val="00F74E98"/>
    <w:rsid w:val="00F75D47"/>
    <w:rsid w:val="00F901CE"/>
    <w:rsid w:val="00F90547"/>
    <w:rsid w:val="00F94A68"/>
    <w:rsid w:val="00FA010C"/>
    <w:rsid w:val="00FA22C9"/>
    <w:rsid w:val="00FA6C56"/>
    <w:rsid w:val="00FA72E1"/>
    <w:rsid w:val="00FA764B"/>
    <w:rsid w:val="00FB2DC5"/>
    <w:rsid w:val="00FB3F50"/>
    <w:rsid w:val="00FC1345"/>
    <w:rsid w:val="00FD17FB"/>
    <w:rsid w:val="00FD5011"/>
    <w:rsid w:val="00FD5AB8"/>
    <w:rsid w:val="00FE193A"/>
    <w:rsid w:val="00FE2141"/>
    <w:rsid w:val="00FE57F1"/>
    <w:rsid w:val="00FE599F"/>
    <w:rsid w:val="00FF1CF5"/>
    <w:rsid w:val="00FF343F"/>
    <w:rsid w:val="0204715E"/>
    <w:rsid w:val="041D7799"/>
    <w:rsid w:val="0B615132"/>
    <w:rsid w:val="0C3E681D"/>
    <w:rsid w:val="0EA714A3"/>
    <w:rsid w:val="14B940A1"/>
    <w:rsid w:val="168156A7"/>
    <w:rsid w:val="1DA73A6B"/>
    <w:rsid w:val="2C0C3368"/>
    <w:rsid w:val="3B9F0385"/>
    <w:rsid w:val="3E4C0F5F"/>
    <w:rsid w:val="461F7F52"/>
    <w:rsid w:val="502A437E"/>
    <w:rsid w:val="51340BA3"/>
    <w:rsid w:val="5A542F46"/>
    <w:rsid w:val="6A9306BC"/>
    <w:rsid w:val="6F833B8D"/>
    <w:rsid w:val="75284567"/>
    <w:rsid w:val="7C672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widowControl/>
      <w:spacing w:before="240" w:after="60"/>
      <w:jc w:val="left"/>
      <w:outlineLvl w:val="0"/>
    </w:pPr>
    <w:rPr>
      <w:rFonts w:asciiTheme="majorHAnsi" w:hAnsiTheme="majorHAnsi" w:eastAsiaTheme="majorEastAsia" w:cstheme="majorBidi"/>
      <w:b/>
      <w:bCs/>
      <w:kern w:val="32"/>
      <w:sz w:val="32"/>
      <w:szCs w:val="32"/>
      <w:lang w:eastAsia="en-US" w:bidi="en-US"/>
    </w:rPr>
  </w:style>
  <w:style w:type="paragraph" w:styleId="3">
    <w:name w:val="heading 2"/>
    <w:basedOn w:val="1"/>
    <w:next w:val="1"/>
    <w:link w:val="25"/>
    <w:unhideWhenUsed/>
    <w:qFormat/>
    <w:uiPriority w:val="9"/>
    <w:pPr>
      <w:keepNext/>
      <w:widowControl/>
      <w:spacing w:before="240" w:after="60"/>
      <w:jc w:val="left"/>
      <w:outlineLvl w:val="1"/>
    </w:pPr>
    <w:rPr>
      <w:rFonts w:asciiTheme="majorHAnsi" w:hAnsiTheme="majorHAnsi" w:eastAsiaTheme="majorEastAsia" w:cstheme="majorBidi"/>
      <w:b/>
      <w:bCs/>
      <w:i/>
      <w:iCs/>
      <w:kern w:val="0"/>
      <w:sz w:val="28"/>
      <w:szCs w:val="28"/>
      <w:lang w:eastAsia="en-US" w:bidi="en-US"/>
    </w:rPr>
  </w:style>
  <w:style w:type="paragraph" w:styleId="4">
    <w:name w:val="heading 3"/>
    <w:basedOn w:val="1"/>
    <w:next w:val="1"/>
    <w:link w:val="26"/>
    <w:unhideWhenUsed/>
    <w:qFormat/>
    <w:uiPriority w:val="9"/>
    <w:pPr>
      <w:keepNext/>
      <w:widowControl/>
      <w:spacing w:before="240" w:after="60"/>
      <w:jc w:val="left"/>
      <w:outlineLvl w:val="2"/>
    </w:pPr>
    <w:rPr>
      <w:rFonts w:asciiTheme="majorHAnsi" w:hAnsiTheme="majorHAnsi" w:eastAsiaTheme="majorEastAsia" w:cstheme="majorBidi"/>
      <w:b/>
      <w:bCs/>
      <w:kern w:val="0"/>
      <w:sz w:val="26"/>
      <w:szCs w:val="26"/>
      <w:lang w:eastAsia="en-US" w:bidi="en-US"/>
    </w:rPr>
  </w:style>
  <w:style w:type="paragraph" w:styleId="5">
    <w:name w:val="heading 4"/>
    <w:basedOn w:val="1"/>
    <w:next w:val="1"/>
    <w:link w:val="27"/>
    <w:unhideWhenUsed/>
    <w:qFormat/>
    <w:uiPriority w:val="9"/>
    <w:pPr>
      <w:keepNext/>
      <w:widowControl/>
      <w:spacing w:before="240" w:after="60"/>
      <w:jc w:val="left"/>
      <w:outlineLvl w:val="3"/>
    </w:pPr>
    <w:rPr>
      <w:rFonts w:cstheme="majorBidi"/>
      <w:b/>
      <w:bCs/>
      <w:kern w:val="0"/>
      <w:sz w:val="28"/>
      <w:szCs w:val="28"/>
      <w:lang w:eastAsia="en-US" w:bidi="en-US"/>
    </w:rPr>
  </w:style>
  <w:style w:type="paragraph" w:styleId="6">
    <w:name w:val="heading 5"/>
    <w:basedOn w:val="1"/>
    <w:next w:val="1"/>
    <w:link w:val="28"/>
    <w:unhideWhenUsed/>
    <w:qFormat/>
    <w:uiPriority w:val="9"/>
    <w:pPr>
      <w:widowControl/>
      <w:spacing w:before="240" w:after="60"/>
      <w:jc w:val="left"/>
      <w:outlineLvl w:val="4"/>
    </w:pPr>
    <w:rPr>
      <w:rFonts w:cstheme="majorBidi"/>
      <w:b/>
      <w:bCs/>
      <w:i/>
      <w:iCs/>
      <w:kern w:val="0"/>
      <w:sz w:val="26"/>
      <w:szCs w:val="26"/>
      <w:lang w:eastAsia="en-US" w:bidi="en-US"/>
    </w:rPr>
  </w:style>
  <w:style w:type="paragraph" w:styleId="7">
    <w:name w:val="heading 6"/>
    <w:basedOn w:val="1"/>
    <w:next w:val="1"/>
    <w:link w:val="29"/>
    <w:unhideWhenUsed/>
    <w:qFormat/>
    <w:uiPriority w:val="9"/>
    <w:pPr>
      <w:widowControl/>
      <w:spacing w:before="240" w:after="60"/>
      <w:jc w:val="left"/>
      <w:outlineLvl w:val="5"/>
    </w:pPr>
    <w:rPr>
      <w:rFonts w:cstheme="majorBidi"/>
      <w:b/>
      <w:bCs/>
      <w:kern w:val="0"/>
      <w:sz w:val="22"/>
      <w:lang w:eastAsia="en-US" w:bidi="en-US"/>
    </w:rPr>
  </w:style>
  <w:style w:type="paragraph" w:styleId="8">
    <w:name w:val="heading 7"/>
    <w:basedOn w:val="1"/>
    <w:next w:val="1"/>
    <w:link w:val="30"/>
    <w:unhideWhenUsed/>
    <w:qFormat/>
    <w:uiPriority w:val="9"/>
    <w:pPr>
      <w:widowControl/>
      <w:spacing w:before="240" w:after="60"/>
      <w:jc w:val="left"/>
      <w:outlineLvl w:val="6"/>
    </w:pPr>
    <w:rPr>
      <w:rFonts w:cstheme="majorBidi"/>
      <w:kern w:val="0"/>
      <w:sz w:val="24"/>
      <w:szCs w:val="24"/>
      <w:lang w:eastAsia="en-US" w:bidi="en-US"/>
    </w:rPr>
  </w:style>
  <w:style w:type="paragraph" w:styleId="9">
    <w:name w:val="heading 8"/>
    <w:basedOn w:val="1"/>
    <w:next w:val="1"/>
    <w:link w:val="31"/>
    <w:unhideWhenUsed/>
    <w:qFormat/>
    <w:uiPriority w:val="9"/>
    <w:pPr>
      <w:widowControl/>
      <w:spacing w:before="240" w:after="60"/>
      <w:jc w:val="left"/>
      <w:outlineLvl w:val="7"/>
    </w:pPr>
    <w:rPr>
      <w:rFonts w:cstheme="majorBidi"/>
      <w:i/>
      <w:iCs/>
      <w:kern w:val="0"/>
      <w:sz w:val="24"/>
      <w:szCs w:val="24"/>
      <w:lang w:eastAsia="en-US" w:bidi="en-US"/>
    </w:rPr>
  </w:style>
  <w:style w:type="paragraph" w:styleId="10">
    <w:name w:val="heading 9"/>
    <w:basedOn w:val="1"/>
    <w:next w:val="1"/>
    <w:link w:val="32"/>
    <w:unhideWhenUsed/>
    <w:qFormat/>
    <w:uiPriority w:val="9"/>
    <w:pPr>
      <w:widowControl/>
      <w:spacing w:before="240" w:after="60"/>
      <w:jc w:val="left"/>
      <w:outlineLvl w:val="8"/>
    </w:pPr>
    <w:rPr>
      <w:rFonts w:asciiTheme="majorHAnsi" w:hAnsiTheme="majorHAnsi" w:eastAsiaTheme="majorEastAsia" w:cstheme="majorBidi"/>
      <w:kern w:val="0"/>
      <w:sz w:val="22"/>
      <w:lang w:eastAsia="en-US" w:bidi="en-US"/>
    </w:rPr>
  </w:style>
  <w:style w:type="character" w:default="1" w:styleId="18">
    <w:name w:val="Default Paragraph Font"/>
    <w:unhideWhenUsed/>
    <w:qFormat/>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57"/>
    <w:unhideWhenUsed/>
    <w:qFormat/>
    <w:uiPriority w:val="99"/>
    <w:rPr>
      <w:b/>
      <w:bCs/>
    </w:rPr>
  </w:style>
  <w:style w:type="paragraph" w:styleId="12">
    <w:name w:val="annotation text"/>
    <w:basedOn w:val="1"/>
    <w:link w:val="55"/>
    <w:unhideWhenUsed/>
    <w:qFormat/>
    <w:uiPriority w:val="99"/>
    <w:pPr>
      <w:jc w:val="left"/>
    </w:pPr>
  </w:style>
  <w:style w:type="paragraph" w:styleId="13">
    <w:name w:val="Balloon Text"/>
    <w:basedOn w:val="1"/>
    <w:link w:val="56"/>
    <w:unhideWhenUsed/>
    <w:qFormat/>
    <w:uiPriority w:val="99"/>
    <w:rPr>
      <w:sz w:val="18"/>
      <w:szCs w:val="18"/>
    </w:rPr>
  </w:style>
  <w:style w:type="paragraph" w:styleId="14">
    <w:name w:val="footer"/>
    <w:basedOn w:val="1"/>
    <w:link w:val="48"/>
    <w:unhideWhenUsed/>
    <w:qFormat/>
    <w:uiPriority w:val="99"/>
    <w:pPr>
      <w:tabs>
        <w:tab w:val="center" w:pos="4153"/>
        <w:tab w:val="right" w:pos="8306"/>
      </w:tabs>
      <w:snapToGrid w:val="0"/>
      <w:jc w:val="left"/>
    </w:pPr>
    <w:rPr>
      <w:sz w:val="18"/>
      <w:szCs w:val="18"/>
    </w:rPr>
  </w:style>
  <w:style w:type="paragraph" w:styleId="15">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4"/>
    <w:qFormat/>
    <w:uiPriority w:val="11"/>
    <w:pPr>
      <w:widowControl/>
      <w:spacing w:after="60"/>
      <w:jc w:val="center"/>
      <w:outlineLvl w:val="1"/>
    </w:pPr>
    <w:rPr>
      <w:rFonts w:asciiTheme="majorHAnsi" w:hAnsiTheme="majorHAnsi" w:eastAsiaTheme="majorEastAsia" w:cstheme="majorBidi"/>
      <w:kern w:val="0"/>
      <w:sz w:val="24"/>
      <w:szCs w:val="24"/>
      <w:lang w:eastAsia="en-US" w:bidi="en-US"/>
    </w:rPr>
  </w:style>
  <w:style w:type="paragraph" w:styleId="17">
    <w:name w:val="Title"/>
    <w:basedOn w:val="1"/>
    <w:next w:val="1"/>
    <w:link w:val="33"/>
    <w:qFormat/>
    <w:uiPriority w:val="10"/>
    <w:pPr>
      <w:widowControl/>
      <w:spacing w:before="240" w:after="60"/>
      <w:jc w:val="center"/>
      <w:outlineLvl w:val="0"/>
    </w:pPr>
    <w:rPr>
      <w:rFonts w:asciiTheme="majorHAnsi" w:hAnsiTheme="majorHAnsi" w:eastAsiaTheme="majorEastAsia" w:cstheme="majorBidi"/>
      <w:b/>
      <w:bCs/>
      <w:kern w:val="28"/>
      <w:sz w:val="32"/>
      <w:szCs w:val="32"/>
      <w:lang w:eastAsia="en-US" w:bidi="en-US"/>
    </w:rPr>
  </w:style>
  <w:style w:type="character" w:styleId="19">
    <w:name w:val="Strong"/>
    <w:basedOn w:val="18"/>
    <w:qFormat/>
    <w:uiPriority w:val="22"/>
    <w:rPr>
      <w:b/>
      <w:bCs/>
    </w:rPr>
  </w:style>
  <w:style w:type="character" w:styleId="20">
    <w:name w:val="Emphasis"/>
    <w:basedOn w:val="18"/>
    <w:qFormat/>
    <w:uiPriority w:val="20"/>
    <w:rPr>
      <w:rFonts w:asciiTheme="minorHAnsi" w:hAnsiTheme="minorHAnsi"/>
      <w:b/>
      <w:i/>
      <w:iCs/>
    </w:rPr>
  </w:style>
  <w:style w:type="character" w:styleId="21">
    <w:name w:val="annotation reference"/>
    <w:basedOn w:val="18"/>
    <w:unhideWhenUsed/>
    <w:qFormat/>
    <w:uiPriority w:val="99"/>
    <w:rPr>
      <w:sz w:val="21"/>
      <w:szCs w:val="21"/>
    </w:rPr>
  </w:style>
  <w:style w:type="table" w:styleId="23">
    <w:name w:val="Table Grid"/>
    <w:basedOn w:val="22"/>
    <w:qFormat/>
    <w:uiPriority w:val="59"/>
    <w:rPr>
      <w:rFonts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4">
    <w:name w:val="标题 1 Char"/>
    <w:basedOn w:val="18"/>
    <w:link w:val="2"/>
    <w:qFormat/>
    <w:uiPriority w:val="9"/>
    <w:rPr>
      <w:rFonts w:asciiTheme="majorHAnsi" w:hAnsiTheme="majorHAnsi" w:eastAsiaTheme="majorEastAsia" w:cstheme="majorBidi"/>
      <w:b/>
      <w:bCs/>
      <w:kern w:val="32"/>
      <w:sz w:val="32"/>
      <w:szCs w:val="32"/>
    </w:rPr>
  </w:style>
  <w:style w:type="character" w:customStyle="1" w:styleId="25">
    <w:name w:val="标题 2 Char"/>
    <w:basedOn w:val="18"/>
    <w:link w:val="3"/>
    <w:semiHidden/>
    <w:qFormat/>
    <w:uiPriority w:val="9"/>
    <w:rPr>
      <w:rFonts w:asciiTheme="majorHAnsi" w:hAnsiTheme="majorHAnsi" w:eastAsiaTheme="majorEastAsia" w:cstheme="majorBidi"/>
      <w:b/>
      <w:bCs/>
      <w:i/>
      <w:iCs/>
      <w:sz w:val="28"/>
      <w:szCs w:val="28"/>
    </w:rPr>
  </w:style>
  <w:style w:type="character" w:customStyle="1" w:styleId="26">
    <w:name w:val="标题 3 Char"/>
    <w:basedOn w:val="18"/>
    <w:link w:val="4"/>
    <w:semiHidden/>
    <w:qFormat/>
    <w:uiPriority w:val="9"/>
    <w:rPr>
      <w:rFonts w:asciiTheme="majorHAnsi" w:hAnsiTheme="majorHAnsi" w:eastAsiaTheme="majorEastAsia" w:cstheme="majorBidi"/>
      <w:b/>
      <w:bCs/>
      <w:sz w:val="26"/>
      <w:szCs w:val="26"/>
    </w:rPr>
  </w:style>
  <w:style w:type="character" w:customStyle="1" w:styleId="27">
    <w:name w:val="标题 4 Char"/>
    <w:basedOn w:val="18"/>
    <w:link w:val="5"/>
    <w:semiHidden/>
    <w:qFormat/>
    <w:uiPriority w:val="9"/>
    <w:rPr>
      <w:rFonts w:cstheme="majorBidi"/>
      <w:b/>
      <w:bCs/>
      <w:sz w:val="28"/>
      <w:szCs w:val="28"/>
    </w:rPr>
  </w:style>
  <w:style w:type="character" w:customStyle="1" w:styleId="28">
    <w:name w:val="标题 5 Char"/>
    <w:basedOn w:val="18"/>
    <w:link w:val="6"/>
    <w:semiHidden/>
    <w:qFormat/>
    <w:uiPriority w:val="9"/>
    <w:rPr>
      <w:rFonts w:cstheme="majorBidi"/>
      <w:b/>
      <w:bCs/>
      <w:i/>
      <w:iCs/>
      <w:sz w:val="26"/>
      <w:szCs w:val="26"/>
    </w:rPr>
  </w:style>
  <w:style w:type="character" w:customStyle="1" w:styleId="29">
    <w:name w:val="标题 6 Char"/>
    <w:basedOn w:val="18"/>
    <w:link w:val="7"/>
    <w:semiHidden/>
    <w:qFormat/>
    <w:uiPriority w:val="9"/>
    <w:rPr>
      <w:rFonts w:cstheme="majorBidi"/>
      <w:b/>
      <w:bCs/>
    </w:rPr>
  </w:style>
  <w:style w:type="character" w:customStyle="1" w:styleId="30">
    <w:name w:val="标题 7 Char"/>
    <w:basedOn w:val="18"/>
    <w:link w:val="8"/>
    <w:semiHidden/>
    <w:qFormat/>
    <w:uiPriority w:val="9"/>
    <w:rPr>
      <w:rFonts w:cstheme="majorBidi"/>
      <w:sz w:val="24"/>
      <w:szCs w:val="24"/>
    </w:rPr>
  </w:style>
  <w:style w:type="character" w:customStyle="1" w:styleId="31">
    <w:name w:val="标题 8 Char"/>
    <w:basedOn w:val="18"/>
    <w:link w:val="9"/>
    <w:semiHidden/>
    <w:qFormat/>
    <w:uiPriority w:val="9"/>
    <w:rPr>
      <w:rFonts w:cstheme="majorBidi"/>
      <w:i/>
      <w:iCs/>
      <w:sz w:val="24"/>
      <w:szCs w:val="24"/>
    </w:rPr>
  </w:style>
  <w:style w:type="character" w:customStyle="1" w:styleId="32">
    <w:name w:val="标题 9 Char"/>
    <w:basedOn w:val="18"/>
    <w:link w:val="10"/>
    <w:semiHidden/>
    <w:qFormat/>
    <w:uiPriority w:val="9"/>
    <w:rPr>
      <w:rFonts w:asciiTheme="majorHAnsi" w:hAnsiTheme="majorHAnsi" w:eastAsiaTheme="majorEastAsia" w:cstheme="majorBidi"/>
    </w:rPr>
  </w:style>
  <w:style w:type="character" w:customStyle="1" w:styleId="33">
    <w:name w:val="标题 Char"/>
    <w:basedOn w:val="18"/>
    <w:link w:val="17"/>
    <w:qFormat/>
    <w:uiPriority w:val="10"/>
    <w:rPr>
      <w:rFonts w:asciiTheme="majorHAnsi" w:hAnsiTheme="majorHAnsi" w:eastAsiaTheme="majorEastAsia" w:cstheme="majorBidi"/>
      <w:b/>
      <w:bCs/>
      <w:kern w:val="28"/>
      <w:sz w:val="32"/>
      <w:szCs w:val="32"/>
    </w:rPr>
  </w:style>
  <w:style w:type="character" w:customStyle="1" w:styleId="34">
    <w:name w:val="副标题 Char"/>
    <w:basedOn w:val="18"/>
    <w:link w:val="16"/>
    <w:qFormat/>
    <w:uiPriority w:val="11"/>
    <w:rPr>
      <w:rFonts w:asciiTheme="majorHAnsi" w:hAnsiTheme="majorHAnsi" w:eastAsiaTheme="majorEastAsia" w:cstheme="majorBidi"/>
      <w:sz w:val="24"/>
      <w:szCs w:val="24"/>
    </w:rPr>
  </w:style>
  <w:style w:type="paragraph" w:customStyle="1" w:styleId="35">
    <w:name w:val="无间隔1"/>
    <w:basedOn w:val="1"/>
    <w:qFormat/>
    <w:uiPriority w:val="1"/>
    <w:pPr>
      <w:widowControl/>
      <w:jc w:val="left"/>
    </w:pPr>
    <w:rPr>
      <w:rFonts w:cs="Times New Roman"/>
      <w:kern w:val="0"/>
      <w:sz w:val="24"/>
      <w:szCs w:val="32"/>
      <w:lang w:eastAsia="en-US" w:bidi="en-US"/>
    </w:rPr>
  </w:style>
  <w:style w:type="paragraph" w:customStyle="1" w:styleId="36">
    <w:name w:val="列出段落1"/>
    <w:basedOn w:val="1"/>
    <w:qFormat/>
    <w:uiPriority w:val="34"/>
    <w:pPr>
      <w:widowControl/>
      <w:ind w:left="720"/>
      <w:contextualSpacing/>
      <w:jc w:val="left"/>
    </w:pPr>
    <w:rPr>
      <w:rFonts w:cs="Times New Roman"/>
      <w:kern w:val="0"/>
      <w:sz w:val="24"/>
      <w:szCs w:val="24"/>
      <w:lang w:eastAsia="en-US" w:bidi="en-US"/>
    </w:rPr>
  </w:style>
  <w:style w:type="paragraph" w:customStyle="1" w:styleId="37">
    <w:name w:val="引用1"/>
    <w:basedOn w:val="1"/>
    <w:next w:val="1"/>
    <w:link w:val="38"/>
    <w:qFormat/>
    <w:uiPriority w:val="29"/>
    <w:pPr>
      <w:widowControl/>
      <w:jc w:val="left"/>
    </w:pPr>
    <w:rPr>
      <w:rFonts w:cs="Times New Roman"/>
      <w:i/>
      <w:kern w:val="0"/>
      <w:sz w:val="24"/>
      <w:szCs w:val="24"/>
      <w:lang w:eastAsia="en-US" w:bidi="en-US"/>
    </w:rPr>
  </w:style>
  <w:style w:type="character" w:customStyle="1" w:styleId="38">
    <w:name w:val="引用 Char"/>
    <w:basedOn w:val="18"/>
    <w:link w:val="37"/>
    <w:qFormat/>
    <w:uiPriority w:val="29"/>
    <w:rPr>
      <w:i/>
      <w:sz w:val="24"/>
      <w:szCs w:val="24"/>
    </w:rPr>
  </w:style>
  <w:style w:type="paragraph" w:customStyle="1" w:styleId="39">
    <w:name w:val="明显引用1"/>
    <w:basedOn w:val="1"/>
    <w:next w:val="1"/>
    <w:link w:val="40"/>
    <w:qFormat/>
    <w:uiPriority w:val="30"/>
    <w:pPr>
      <w:widowControl/>
      <w:ind w:left="720" w:right="720"/>
      <w:jc w:val="left"/>
    </w:pPr>
    <w:rPr>
      <w:rFonts w:cs="Times New Roman"/>
      <w:b/>
      <w:i/>
      <w:kern w:val="0"/>
      <w:sz w:val="24"/>
      <w:lang w:eastAsia="en-US" w:bidi="en-US"/>
    </w:rPr>
  </w:style>
  <w:style w:type="character" w:customStyle="1" w:styleId="40">
    <w:name w:val="明显引用 Char"/>
    <w:basedOn w:val="18"/>
    <w:link w:val="39"/>
    <w:qFormat/>
    <w:uiPriority w:val="30"/>
    <w:rPr>
      <w:b/>
      <w:i/>
      <w:sz w:val="24"/>
    </w:rPr>
  </w:style>
  <w:style w:type="character" w:customStyle="1" w:styleId="41">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42">
    <w:name w:val="明显强调1"/>
    <w:basedOn w:val="18"/>
    <w:qFormat/>
    <w:uiPriority w:val="21"/>
    <w:rPr>
      <w:b/>
      <w:i/>
      <w:sz w:val="24"/>
      <w:szCs w:val="24"/>
      <w:u w:val="single"/>
    </w:rPr>
  </w:style>
  <w:style w:type="character" w:customStyle="1" w:styleId="43">
    <w:name w:val="不明显参考1"/>
    <w:basedOn w:val="18"/>
    <w:qFormat/>
    <w:uiPriority w:val="31"/>
    <w:rPr>
      <w:sz w:val="24"/>
      <w:szCs w:val="24"/>
      <w:u w:val="single"/>
    </w:rPr>
  </w:style>
  <w:style w:type="character" w:customStyle="1" w:styleId="44">
    <w:name w:val="明显参考1"/>
    <w:basedOn w:val="18"/>
    <w:qFormat/>
    <w:uiPriority w:val="32"/>
    <w:rPr>
      <w:b/>
      <w:sz w:val="24"/>
      <w:u w:val="single"/>
    </w:rPr>
  </w:style>
  <w:style w:type="character" w:customStyle="1" w:styleId="45">
    <w:name w:val="书籍标题1"/>
    <w:basedOn w:val="18"/>
    <w:qFormat/>
    <w:uiPriority w:val="33"/>
    <w:rPr>
      <w:rFonts w:asciiTheme="majorHAnsi" w:hAnsiTheme="majorHAnsi" w:eastAsiaTheme="majorEastAsia"/>
      <w:b/>
      <w:i/>
      <w:sz w:val="24"/>
      <w:szCs w:val="24"/>
    </w:rPr>
  </w:style>
  <w:style w:type="paragraph" w:customStyle="1" w:styleId="46">
    <w:name w:val="TOC 标题1"/>
    <w:basedOn w:val="2"/>
    <w:next w:val="1"/>
    <w:unhideWhenUsed/>
    <w:qFormat/>
    <w:uiPriority w:val="39"/>
    <w:pPr>
      <w:outlineLvl w:val="9"/>
    </w:pPr>
  </w:style>
  <w:style w:type="character" w:customStyle="1" w:styleId="47">
    <w:name w:val="页眉 Char"/>
    <w:basedOn w:val="18"/>
    <w:link w:val="15"/>
    <w:semiHidden/>
    <w:qFormat/>
    <w:uiPriority w:val="99"/>
    <w:rPr>
      <w:rFonts w:cstheme="minorBidi"/>
      <w:kern w:val="2"/>
      <w:sz w:val="18"/>
      <w:szCs w:val="18"/>
      <w:lang w:eastAsia="zh-CN" w:bidi="ar-SA"/>
    </w:rPr>
  </w:style>
  <w:style w:type="character" w:customStyle="1" w:styleId="48">
    <w:name w:val="页脚 Char"/>
    <w:basedOn w:val="18"/>
    <w:link w:val="14"/>
    <w:semiHidden/>
    <w:qFormat/>
    <w:uiPriority w:val="99"/>
    <w:rPr>
      <w:rFonts w:cstheme="minorBidi"/>
      <w:kern w:val="2"/>
      <w:sz w:val="18"/>
      <w:szCs w:val="18"/>
      <w:lang w:eastAsia="zh-CN" w:bidi="ar-SA"/>
    </w:rPr>
  </w:style>
  <w:style w:type="paragraph" w:customStyle="1" w:styleId="49">
    <w:name w:val="段"/>
    <w:link w:val="5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50">
    <w:name w:val="段 Char"/>
    <w:basedOn w:val="18"/>
    <w:link w:val="49"/>
    <w:qFormat/>
    <w:uiPriority w:val="0"/>
    <w:rPr>
      <w:rFonts w:ascii="宋体" w:hAnsi="Times New Roman" w:eastAsia="宋体"/>
      <w:sz w:val="21"/>
      <w:szCs w:val="20"/>
      <w:lang w:eastAsia="zh-CN" w:bidi="ar-SA"/>
    </w:rPr>
  </w:style>
  <w:style w:type="paragraph" w:customStyle="1" w:styleId="51">
    <w:name w:val="列项——（一级）"/>
    <w:qFormat/>
    <w:uiPriority w:val="0"/>
    <w:pPr>
      <w:widowControl w:val="0"/>
      <w:numPr>
        <w:ilvl w:val="0"/>
        <w:numId w:val="1"/>
      </w:numPr>
      <w:jc w:val="both"/>
    </w:pPr>
    <w:rPr>
      <w:rFonts w:ascii="宋体" w:hAnsi="Times New Roman" w:eastAsia="宋体" w:cs="Times New Roman"/>
      <w:sz w:val="21"/>
      <w:lang w:val="en-US" w:eastAsia="zh-CN" w:bidi="ar-SA"/>
    </w:rPr>
  </w:style>
  <w:style w:type="paragraph" w:customStyle="1" w:styleId="52">
    <w:name w:val="列项●（二级）"/>
    <w:qFormat/>
    <w:uiPriority w:val="0"/>
    <w:pPr>
      <w:numPr>
        <w:ilvl w:val="1"/>
        <w:numId w:val="1"/>
      </w:numPr>
      <w:tabs>
        <w:tab w:val="left" w:pos="840"/>
        <w:tab w:val="clear" w:pos="760"/>
      </w:tabs>
      <w:jc w:val="both"/>
    </w:pPr>
    <w:rPr>
      <w:rFonts w:ascii="宋体" w:hAnsi="Times New Roman" w:eastAsia="宋体" w:cs="Times New Roman"/>
      <w:sz w:val="21"/>
      <w:lang w:val="en-US" w:eastAsia="zh-CN" w:bidi="ar-SA"/>
    </w:rPr>
  </w:style>
  <w:style w:type="paragraph" w:customStyle="1" w:styleId="53">
    <w:name w:val="列项◆（三级）"/>
    <w:basedOn w:val="1"/>
    <w:qFormat/>
    <w:uiPriority w:val="0"/>
    <w:pPr>
      <w:numPr>
        <w:ilvl w:val="2"/>
        <w:numId w:val="1"/>
      </w:numPr>
    </w:pPr>
    <w:rPr>
      <w:rFonts w:ascii="宋体" w:hAnsi="Times New Roman" w:eastAsia="宋体" w:cs="Times New Roman"/>
      <w:szCs w:val="21"/>
    </w:rPr>
  </w:style>
  <w:style w:type="paragraph" w:customStyle="1" w:styleId="54">
    <w:name w:val="三级条标题"/>
    <w:basedOn w:val="1"/>
    <w:next w:val="49"/>
    <w:qFormat/>
    <w:uiPriority w:val="0"/>
    <w:pPr>
      <w:widowControl/>
      <w:spacing w:beforeLines="50" w:afterLines="50"/>
      <w:jc w:val="left"/>
      <w:outlineLvl w:val="4"/>
    </w:pPr>
    <w:rPr>
      <w:rFonts w:ascii="黑体" w:hAnsi="Times New Roman" w:eastAsia="黑体" w:cs="Times New Roman"/>
      <w:kern w:val="0"/>
      <w:szCs w:val="21"/>
    </w:rPr>
  </w:style>
  <w:style w:type="character" w:customStyle="1" w:styleId="55">
    <w:name w:val="批注文字 Char"/>
    <w:basedOn w:val="18"/>
    <w:link w:val="12"/>
    <w:semiHidden/>
    <w:qFormat/>
    <w:uiPriority w:val="99"/>
    <w:rPr>
      <w:rFonts w:cstheme="minorBidi"/>
      <w:kern w:val="2"/>
      <w:sz w:val="21"/>
      <w:lang w:eastAsia="zh-CN" w:bidi="ar-SA"/>
    </w:rPr>
  </w:style>
  <w:style w:type="character" w:customStyle="1" w:styleId="56">
    <w:name w:val="批注框文本 Char"/>
    <w:basedOn w:val="18"/>
    <w:link w:val="13"/>
    <w:semiHidden/>
    <w:qFormat/>
    <w:uiPriority w:val="99"/>
    <w:rPr>
      <w:rFonts w:cstheme="minorBidi"/>
      <w:kern w:val="2"/>
      <w:sz w:val="18"/>
      <w:szCs w:val="18"/>
      <w:lang w:eastAsia="zh-CN" w:bidi="ar-SA"/>
    </w:rPr>
  </w:style>
  <w:style w:type="character" w:customStyle="1" w:styleId="57">
    <w:name w:val="批注主题 Char"/>
    <w:basedOn w:val="55"/>
    <w:link w:val="11"/>
    <w:semiHidden/>
    <w:qFormat/>
    <w:uiPriority w:val="99"/>
    <w:rPr>
      <w:rFonts w:cstheme="minorBidi"/>
      <w:b/>
      <w:bCs/>
      <w:kern w:val="2"/>
      <w:sz w:val="21"/>
      <w:lang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BF36C-DF77-4917-B3A7-58D30A4AD101}">
  <ds:schemaRefs/>
</ds:datastoreItem>
</file>

<file path=docProps/app.xml><?xml version="1.0" encoding="utf-8"?>
<Properties xmlns="http://schemas.openxmlformats.org/officeDocument/2006/extended-properties" xmlns:vt="http://schemas.openxmlformats.org/officeDocument/2006/docPropsVTypes">
  <Template>Normal</Template>
  <Pages>11</Pages>
  <Words>1180</Words>
  <Characters>6727</Characters>
  <Lines>56</Lines>
  <Paragraphs>15</Paragraphs>
  <ScaleCrop>false</ScaleCrop>
  <LinksUpToDate>false</LinksUpToDate>
  <CharactersWithSpaces>7892</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2017-08-25T02:33:00Z</dcterms:created>
  <dc:creator>张鹏</dc:creator>
  <cp:lastModifiedBy>hp</cp:lastModifiedBy>
  <cp:lastPrinted>2017-08-28T01:29:49Z</cp:lastPrinted>
  <dcterms:modified xsi:type="dcterms:W3CDTF">2017-08-28T02:46:01Z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